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C75EF">
      <w:pPr>
        <w:pStyle w:val="3"/>
        <w:tabs>
          <w:tab w:val="left" w:pos="0"/>
        </w:tabs>
        <w:autoSpaceDE w:val="0"/>
        <w:autoSpaceDN w:val="0"/>
        <w:adjustRightInd w:val="0"/>
        <w:spacing w:before="0" w:after="0" w:line="500" w:lineRule="exact"/>
        <w:jc w:val="center"/>
        <w:rPr>
          <w:rFonts w:asciiTheme="minorEastAsia" w:hAnsiTheme="minorEastAsia" w:eastAsiaTheme="minorEastAsia"/>
          <w:sz w:val="32"/>
          <w:szCs w:val="32"/>
        </w:rPr>
      </w:pPr>
      <w:bookmarkStart w:id="0" w:name="_Toc35393809"/>
      <w:bookmarkStart w:id="1" w:name="_Toc28359022"/>
      <w:r>
        <w:rPr>
          <w:rFonts w:hint="eastAsia" w:asciiTheme="minorEastAsia" w:hAnsiTheme="minorEastAsia" w:eastAsiaTheme="minorEastAsia"/>
          <w:sz w:val="32"/>
          <w:szCs w:val="32"/>
        </w:rPr>
        <w:t>广西大德项目管理有限公司关于医疗影像设备一批采购（LZZC2023-G1-990757-GXDD）中标结果公告</w:t>
      </w:r>
      <w:bookmarkEnd w:id="0"/>
      <w:bookmarkEnd w:id="1"/>
    </w:p>
    <w:p w14:paraId="5606AF17"/>
    <w:p w14:paraId="210CF760">
      <w:pPr>
        <w:keepNext w:val="0"/>
        <w:keepLines w:val="0"/>
        <w:pageBreakBefore w:val="0"/>
        <w:widowControl/>
        <w:kinsoku/>
        <w:overflowPunct/>
        <w:bidi w:val="0"/>
        <w:spacing w:line="360" w:lineRule="auto"/>
        <w:jc w:val="left"/>
        <w:rPr>
          <w:rFonts w:ascii="宋体" w:hAnsi="宋体" w:cs="Arial"/>
          <w:kern w:val="0"/>
          <w:sz w:val="24"/>
          <w:szCs w:val="24"/>
        </w:rPr>
      </w:pPr>
      <w:bookmarkStart w:id="2" w:name="OLE_LINK1"/>
      <w:r>
        <w:rPr>
          <w:rFonts w:hint="eastAsia" w:ascii="宋体" w:hAnsi="宋体" w:cs="Arial"/>
          <w:b/>
          <w:bCs/>
          <w:kern w:val="0"/>
          <w:sz w:val="24"/>
          <w:szCs w:val="24"/>
        </w:rPr>
        <w:t>一、项目编号：LZZC2023-G1-990757-GXDD</w:t>
      </w:r>
    </w:p>
    <w:p w14:paraId="6DB07C7D">
      <w:pPr>
        <w:keepNext w:val="0"/>
        <w:keepLines w:val="0"/>
        <w:pageBreakBefore w:val="0"/>
        <w:widowControl/>
        <w:kinsoku/>
        <w:overflowPunct/>
        <w:bidi w:val="0"/>
        <w:spacing w:line="360" w:lineRule="auto"/>
        <w:rPr>
          <w:rFonts w:ascii="宋体" w:hAnsi="宋体" w:cs="宋体"/>
          <w:kern w:val="0"/>
          <w:sz w:val="24"/>
          <w:szCs w:val="24"/>
        </w:rPr>
      </w:pPr>
      <w:r>
        <w:rPr>
          <w:rFonts w:hint="eastAsia" w:ascii="宋体" w:hAnsi="宋体" w:cs="Arial"/>
          <w:b/>
          <w:bCs/>
          <w:kern w:val="0"/>
          <w:sz w:val="24"/>
          <w:szCs w:val="24"/>
        </w:rPr>
        <w:t>二、项目名称：医疗影像设备一批采购</w:t>
      </w:r>
    </w:p>
    <w:p w14:paraId="48ED0E1F">
      <w:pPr>
        <w:keepNext w:val="0"/>
        <w:keepLines w:val="0"/>
        <w:pageBreakBefore w:val="0"/>
        <w:widowControl/>
        <w:kinsoku/>
        <w:overflowPunct/>
        <w:bidi w:val="0"/>
        <w:spacing w:line="360" w:lineRule="auto"/>
        <w:jc w:val="left"/>
        <w:rPr>
          <w:rFonts w:ascii="Arial" w:hAnsi="Arial" w:cs="Arial"/>
          <w:kern w:val="0"/>
          <w:sz w:val="24"/>
          <w:szCs w:val="24"/>
        </w:rPr>
      </w:pPr>
      <w:r>
        <w:rPr>
          <w:rFonts w:hint="eastAsia" w:ascii="宋体" w:hAnsi="宋体" w:cs="Arial"/>
          <w:b/>
          <w:bCs/>
          <w:kern w:val="0"/>
          <w:sz w:val="24"/>
          <w:szCs w:val="24"/>
        </w:rPr>
        <w:t>三、中标（成交）信息</w:t>
      </w:r>
    </w:p>
    <w:p w14:paraId="20512F47">
      <w:pPr>
        <w:keepNext w:val="0"/>
        <w:keepLines w:val="0"/>
        <w:pageBreakBefore w:val="0"/>
        <w:widowControl/>
        <w:kinsoku/>
        <w:overflowPunct/>
        <w:bidi w:val="0"/>
        <w:spacing w:before="75" w:after="75" w:line="360" w:lineRule="auto"/>
        <w:ind w:firstLine="480" w:firstLineChars="200"/>
        <w:jc w:val="left"/>
        <w:rPr>
          <w:rFonts w:ascii="宋体" w:hAnsi="宋体" w:cs="宋体"/>
          <w:kern w:val="0"/>
          <w:sz w:val="24"/>
          <w:szCs w:val="24"/>
        </w:rPr>
      </w:pPr>
      <w:r>
        <w:rPr>
          <w:rFonts w:ascii="宋体" w:hAnsi="宋体" w:cs="宋体"/>
          <w:kern w:val="0"/>
          <w:sz w:val="24"/>
          <w:szCs w:val="24"/>
        </w:rPr>
        <w:t>1.中标结果：</w:t>
      </w:r>
    </w:p>
    <w:tbl>
      <w:tblPr>
        <w:tblStyle w:val="9"/>
        <w:tblW w:w="10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9"/>
        <w:gridCol w:w="3540"/>
        <w:gridCol w:w="2850"/>
        <w:gridCol w:w="2824"/>
      </w:tblGrid>
      <w:tr w14:paraId="35C3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tblHeader/>
        </w:trPr>
        <w:tc>
          <w:tcPr>
            <w:tcW w:w="859" w:type="dxa"/>
            <w:shd w:val="clear" w:color="auto" w:fill="FFFFFF"/>
            <w:tcMar>
              <w:top w:w="75" w:type="dxa"/>
              <w:left w:w="150" w:type="dxa"/>
              <w:bottom w:w="75" w:type="dxa"/>
              <w:right w:w="150" w:type="dxa"/>
            </w:tcMar>
            <w:vAlign w:val="center"/>
          </w:tcPr>
          <w:p w14:paraId="2929B2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24"/>
                <w:szCs w:val="24"/>
              </w:rPr>
            </w:pPr>
            <w:r>
              <w:rPr>
                <w:rFonts w:ascii="宋体" w:hAnsi="宋体" w:cs="宋体"/>
                <w:b/>
                <w:bCs/>
                <w:kern w:val="0"/>
                <w:sz w:val="24"/>
                <w:szCs w:val="24"/>
              </w:rPr>
              <w:t>序号</w:t>
            </w:r>
          </w:p>
        </w:tc>
        <w:tc>
          <w:tcPr>
            <w:tcW w:w="3540" w:type="dxa"/>
            <w:shd w:val="clear" w:color="auto" w:fill="FFFFFF"/>
            <w:tcMar>
              <w:top w:w="75" w:type="dxa"/>
              <w:left w:w="150" w:type="dxa"/>
              <w:bottom w:w="75" w:type="dxa"/>
              <w:right w:w="150" w:type="dxa"/>
            </w:tcMar>
            <w:vAlign w:val="center"/>
          </w:tcPr>
          <w:p w14:paraId="257A5CF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24"/>
                <w:szCs w:val="24"/>
              </w:rPr>
            </w:pPr>
            <w:r>
              <w:rPr>
                <w:rFonts w:ascii="宋体" w:hAnsi="宋体" w:cs="宋体"/>
                <w:b/>
                <w:bCs/>
                <w:kern w:val="0"/>
                <w:sz w:val="24"/>
                <w:szCs w:val="24"/>
              </w:rPr>
              <w:t>中标（成交）金额(元)</w:t>
            </w:r>
          </w:p>
        </w:tc>
        <w:tc>
          <w:tcPr>
            <w:tcW w:w="2850" w:type="dxa"/>
            <w:shd w:val="clear" w:color="auto" w:fill="FFFFFF"/>
            <w:tcMar>
              <w:top w:w="75" w:type="dxa"/>
              <w:left w:w="150" w:type="dxa"/>
              <w:bottom w:w="75" w:type="dxa"/>
              <w:right w:w="150" w:type="dxa"/>
            </w:tcMar>
            <w:vAlign w:val="center"/>
          </w:tcPr>
          <w:p w14:paraId="27DF41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24"/>
                <w:szCs w:val="24"/>
              </w:rPr>
            </w:pPr>
            <w:r>
              <w:rPr>
                <w:rFonts w:ascii="宋体" w:hAnsi="宋体" w:cs="宋体"/>
                <w:b/>
                <w:bCs/>
                <w:kern w:val="0"/>
                <w:sz w:val="24"/>
                <w:szCs w:val="24"/>
              </w:rPr>
              <w:t>中标供应商名称</w:t>
            </w:r>
          </w:p>
        </w:tc>
        <w:tc>
          <w:tcPr>
            <w:tcW w:w="2824" w:type="dxa"/>
            <w:shd w:val="clear" w:color="auto" w:fill="FFFFFF"/>
            <w:tcMar>
              <w:top w:w="75" w:type="dxa"/>
              <w:left w:w="150" w:type="dxa"/>
              <w:bottom w:w="75" w:type="dxa"/>
              <w:right w:w="150" w:type="dxa"/>
            </w:tcMar>
            <w:vAlign w:val="center"/>
          </w:tcPr>
          <w:p w14:paraId="25DD9F5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24"/>
                <w:szCs w:val="24"/>
              </w:rPr>
            </w:pPr>
            <w:r>
              <w:rPr>
                <w:rFonts w:ascii="宋体" w:hAnsi="宋体" w:cs="宋体"/>
                <w:b/>
                <w:bCs/>
                <w:kern w:val="0"/>
                <w:sz w:val="24"/>
                <w:szCs w:val="24"/>
              </w:rPr>
              <w:t>中标供应商地址</w:t>
            </w:r>
          </w:p>
        </w:tc>
      </w:tr>
      <w:tr w14:paraId="3D17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8" w:hRule="atLeast"/>
        </w:trPr>
        <w:tc>
          <w:tcPr>
            <w:tcW w:w="859" w:type="dxa"/>
            <w:tcMar>
              <w:top w:w="75" w:type="dxa"/>
              <w:left w:w="150" w:type="dxa"/>
              <w:bottom w:w="75" w:type="dxa"/>
              <w:right w:w="150" w:type="dxa"/>
            </w:tcMar>
            <w:vAlign w:val="center"/>
          </w:tcPr>
          <w:p w14:paraId="4D9A1F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24"/>
                <w:szCs w:val="24"/>
                <w:highlight w:val="none"/>
              </w:rPr>
            </w:pPr>
            <w:r>
              <w:rPr>
                <w:rFonts w:ascii="宋体" w:hAnsi="宋体" w:cs="宋体"/>
                <w:kern w:val="0"/>
                <w:sz w:val="24"/>
                <w:szCs w:val="24"/>
                <w:highlight w:val="none"/>
              </w:rPr>
              <w:t>1</w:t>
            </w:r>
          </w:p>
        </w:tc>
        <w:tc>
          <w:tcPr>
            <w:tcW w:w="3540" w:type="dxa"/>
            <w:tcMar>
              <w:top w:w="75" w:type="dxa"/>
              <w:left w:w="150" w:type="dxa"/>
              <w:bottom w:w="75" w:type="dxa"/>
              <w:right w:w="150" w:type="dxa"/>
            </w:tcMar>
            <w:vAlign w:val="center"/>
          </w:tcPr>
          <w:p w14:paraId="2B79F6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24"/>
                <w:szCs w:val="24"/>
                <w:highlight w:val="none"/>
              </w:rPr>
            </w:pPr>
            <w:r>
              <w:rPr>
                <w:rFonts w:hint="eastAsia" w:ascii="宋体" w:hAnsi="宋体" w:cs="宋体"/>
                <w:kern w:val="0"/>
                <w:sz w:val="24"/>
                <w:szCs w:val="24"/>
                <w:highlight w:val="none"/>
              </w:rPr>
              <w:t>报价</w:t>
            </w:r>
            <w:r>
              <w:rPr>
                <w:rFonts w:ascii="宋体" w:hAnsi="宋体" w:cs="宋体"/>
                <w:kern w:val="0"/>
                <w:sz w:val="24"/>
                <w:szCs w:val="24"/>
                <w:highlight w:val="none"/>
              </w:rPr>
              <w:t>：1554000（元）</w:t>
            </w:r>
          </w:p>
        </w:tc>
        <w:tc>
          <w:tcPr>
            <w:tcW w:w="2850" w:type="dxa"/>
            <w:tcMar>
              <w:top w:w="75" w:type="dxa"/>
              <w:left w:w="150" w:type="dxa"/>
              <w:bottom w:w="75" w:type="dxa"/>
              <w:right w:w="150" w:type="dxa"/>
            </w:tcMar>
            <w:vAlign w:val="center"/>
          </w:tcPr>
          <w:p w14:paraId="4225924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24"/>
                <w:szCs w:val="24"/>
                <w:highlight w:val="none"/>
              </w:rPr>
            </w:pPr>
            <w:r>
              <w:rPr>
                <w:rFonts w:hint="eastAsia" w:ascii="宋体" w:hAnsi="宋体" w:cs="宋体"/>
                <w:kern w:val="0"/>
                <w:sz w:val="24"/>
                <w:szCs w:val="24"/>
                <w:highlight w:val="none"/>
              </w:rPr>
              <w:t>广西柳药集团股份有限公司</w:t>
            </w:r>
          </w:p>
        </w:tc>
        <w:tc>
          <w:tcPr>
            <w:tcW w:w="2824" w:type="dxa"/>
            <w:tcMar>
              <w:top w:w="75" w:type="dxa"/>
              <w:left w:w="150" w:type="dxa"/>
              <w:bottom w:w="75" w:type="dxa"/>
              <w:right w:w="150" w:type="dxa"/>
            </w:tcMar>
            <w:vAlign w:val="center"/>
          </w:tcPr>
          <w:p w14:paraId="350690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24"/>
                <w:szCs w:val="24"/>
                <w:highlight w:val="none"/>
              </w:rPr>
            </w:pPr>
            <w:r>
              <w:rPr>
                <w:rFonts w:hint="eastAsia" w:ascii="宋体" w:hAnsi="宋体" w:cs="宋体"/>
                <w:kern w:val="0"/>
                <w:sz w:val="24"/>
                <w:szCs w:val="24"/>
                <w:highlight w:val="none"/>
              </w:rPr>
              <w:t>柳州市官塘大道68号</w:t>
            </w:r>
          </w:p>
        </w:tc>
      </w:tr>
    </w:tbl>
    <w:p w14:paraId="3D1E1FCE">
      <w:pPr>
        <w:keepNext w:val="0"/>
        <w:keepLines w:val="0"/>
        <w:pageBreakBefore w:val="0"/>
        <w:widowControl/>
        <w:kinsoku/>
        <w:overflowPunct/>
        <w:bidi w:val="0"/>
        <w:spacing w:before="75" w:after="75" w:line="360" w:lineRule="auto"/>
        <w:ind w:firstLine="480" w:firstLineChars="200"/>
        <w:jc w:val="left"/>
        <w:rPr>
          <w:rFonts w:ascii="仿宋" w:hAnsi="仿宋" w:cs="宋体"/>
          <w:kern w:val="0"/>
          <w:sz w:val="27"/>
          <w:szCs w:val="27"/>
        </w:rPr>
      </w:pPr>
      <w:r>
        <w:rPr>
          <w:rFonts w:ascii="宋体" w:hAnsi="宋体" w:cs="宋体"/>
          <w:kern w:val="0"/>
          <w:sz w:val="24"/>
          <w:szCs w:val="24"/>
        </w:rPr>
        <w:t>2.废标结果:</w:t>
      </w:r>
    </w:p>
    <w:tbl>
      <w:tblPr>
        <w:tblStyle w:val="9"/>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41"/>
        <w:gridCol w:w="2732"/>
        <w:gridCol w:w="3372"/>
        <w:gridCol w:w="2816"/>
      </w:tblGrid>
      <w:tr w14:paraId="53A0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7" w:type="pct"/>
            <w:tcMar>
              <w:top w:w="75" w:type="dxa"/>
              <w:left w:w="150" w:type="dxa"/>
              <w:bottom w:w="75" w:type="dxa"/>
              <w:right w:w="150" w:type="dxa"/>
            </w:tcMar>
            <w:vAlign w:val="center"/>
          </w:tcPr>
          <w:p w14:paraId="6BAB0CDB">
            <w:pPr>
              <w:keepNext w:val="0"/>
              <w:keepLines w:val="0"/>
              <w:pageBreakBefore w:val="0"/>
              <w:widowControl/>
              <w:kinsoku/>
              <w:overflowPunct/>
              <w:bidi w:val="0"/>
              <w:spacing w:after="150" w:line="360" w:lineRule="auto"/>
              <w:ind w:firstLine="240" w:firstLineChars="100"/>
              <w:rPr>
                <w:rFonts w:ascii="宋体" w:hAnsi="宋体" w:cs="宋体"/>
                <w:kern w:val="0"/>
                <w:sz w:val="24"/>
                <w:szCs w:val="24"/>
              </w:rPr>
            </w:pPr>
            <w:r>
              <w:rPr>
                <w:rFonts w:ascii="宋体" w:hAnsi="宋体" w:cs="宋体"/>
                <w:kern w:val="0"/>
                <w:sz w:val="24"/>
                <w:szCs w:val="24"/>
              </w:rPr>
              <w:t>序号</w:t>
            </w:r>
          </w:p>
        </w:tc>
        <w:tc>
          <w:tcPr>
            <w:tcW w:w="1357" w:type="pct"/>
            <w:tcMar>
              <w:top w:w="75" w:type="dxa"/>
              <w:left w:w="150" w:type="dxa"/>
              <w:bottom w:w="75" w:type="dxa"/>
              <w:right w:w="150" w:type="dxa"/>
            </w:tcMar>
            <w:vAlign w:val="center"/>
          </w:tcPr>
          <w:p w14:paraId="6C43677B">
            <w:pPr>
              <w:keepNext w:val="0"/>
              <w:keepLines w:val="0"/>
              <w:pageBreakBefore w:val="0"/>
              <w:widowControl/>
              <w:kinsoku/>
              <w:overflowPunct/>
              <w:bidi w:val="0"/>
              <w:spacing w:after="150" w:line="360" w:lineRule="auto"/>
              <w:jc w:val="center"/>
              <w:rPr>
                <w:rFonts w:ascii="宋体" w:hAnsi="宋体" w:cs="宋体"/>
                <w:kern w:val="0"/>
                <w:sz w:val="24"/>
                <w:szCs w:val="24"/>
              </w:rPr>
            </w:pPr>
            <w:r>
              <w:rPr>
                <w:rFonts w:ascii="宋体" w:hAnsi="宋体" w:cs="宋体"/>
                <w:kern w:val="0"/>
                <w:sz w:val="24"/>
                <w:szCs w:val="24"/>
              </w:rPr>
              <w:t>标项名称</w:t>
            </w:r>
          </w:p>
        </w:tc>
        <w:tc>
          <w:tcPr>
            <w:tcW w:w="1675" w:type="pct"/>
            <w:tcMar>
              <w:top w:w="75" w:type="dxa"/>
              <w:left w:w="150" w:type="dxa"/>
              <w:bottom w:w="75" w:type="dxa"/>
              <w:right w:w="150" w:type="dxa"/>
            </w:tcMar>
            <w:vAlign w:val="center"/>
          </w:tcPr>
          <w:p w14:paraId="21BD5466">
            <w:pPr>
              <w:keepNext w:val="0"/>
              <w:keepLines w:val="0"/>
              <w:pageBreakBefore w:val="0"/>
              <w:widowControl/>
              <w:kinsoku/>
              <w:overflowPunct/>
              <w:bidi w:val="0"/>
              <w:spacing w:after="150" w:line="360" w:lineRule="auto"/>
              <w:jc w:val="center"/>
              <w:rPr>
                <w:rFonts w:ascii="宋体" w:hAnsi="宋体" w:cs="宋体"/>
                <w:kern w:val="0"/>
                <w:sz w:val="24"/>
                <w:szCs w:val="24"/>
              </w:rPr>
            </w:pPr>
            <w:r>
              <w:rPr>
                <w:rFonts w:ascii="宋体" w:hAnsi="宋体" w:cs="宋体"/>
                <w:kern w:val="0"/>
                <w:sz w:val="24"/>
                <w:szCs w:val="24"/>
              </w:rPr>
              <w:t>废标理由</w:t>
            </w:r>
          </w:p>
        </w:tc>
        <w:tc>
          <w:tcPr>
            <w:tcW w:w="1399" w:type="pct"/>
            <w:tcMar>
              <w:top w:w="75" w:type="dxa"/>
              <w:left w:w="150" w:type="dxa"/>
              <w:bottom w:w="75" w:type="dxa"/>
              <w:right w:w="150" w:type="dxa"/>
            </w:tcMar>
            <w:vAlign w:val="center"/>
          </w:tcPr>
          <w:p w14:paraId="16EB1A0C">
            <w:pPr>
              <w:keepNext w:val="0"/>
              <w:keepLines w:val="0"/>
              <w:pageBreakBefore w:val="0"/>
              <w:widowControl/>
              <w:kinsoku/>
              <w:overflowPunct/>
              <w:bidi w:val="0"/>
              <w:spacing w:after="150" w:line="360" w:lineRule="auto"/>
              <w:jc w:val="center"/>
              <w:rPr>
                <w:rFonts w:ascii="宋体" w:hAnsi="宋体" w:cs="宋体"/>
                <w:kern w:val="0"/>
                <w:sz w:val="24"/>
                <w:szCs w:val="24"/>
              </w:rPr>
            </w:pPr>
            <w:r>
              <w:rPr>
                <w:rFonts w:ascii="宋体" w:hAnsi="宋体" w:cs="宋体"/>
                <w:kern w:val="0"/>
                <w:sz w:val="24"/>
                <w:szCs w:val="24"/>
              </w:rPr>
              <w:t>其他事项</w:t>
            </w:r>
          </w:p>
        </w:tc>
      </w:tr>
      <w:tr w14:paraId="47CA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567" w:type="pct"/>
            <w:tcMar>
              <w:top w:w="75" w:type="dxa"/>
              <w:left w:w="150" w:type="dxa"/>
              <w:bottom w:w="75" w:type="dxa"/>
              <w:right w:w="150" w:type="dxa"/>
            </w:tcMar>
            <w:vAlign w:val="center"/>
          </w:tcPr>
          <w:p w14:paraId="72FD4FA6">
            <w:pPr>
              <w:keepNext w:val="0"/>
              <w:keepLines w:val="0"/>
              <w:pageBreakBefore w:val="0"/>
              <w:widowControl/>
              <w:kinsoku/>
              <w:overflowPunct/>
              <w:bidi w:val="0"/>
              <w:spacing w:after="150" w:line="360" w:lineRule="auto"/>
              <w:jc w:val="center"/>
              <w:rPr>
                <w:rFonts w:hint="eastAsia" w:cs="宋体" w:asciiTheme="majorEastAsia" w:hAnsiTheme="majorEastAsia" w:eastAsiaTheme="majorEastAsia"/>
                <w:kern w:val="0"/>
                <w:sz w:val="24"/>
                <w:szCs w:val="24"/>
                <w:lang w:eastAsia="zh-CN"/>
              </w:rPr>
            </w:pPr>
            <w:r>
              <w:rPr>
                <w:rFonts w:hint="eastAsia" w:asciiTheme="majorEastAsia" w:hAnsiTheme="majorEastAsia" w:eastAsiaTheme="majorEastAsia"/>
                <w:color w:val="000000"/>
                <w:sz w:val="27"/>
                <w:szCs w:val="27"/>
                <w:lang w:val="en-US" w:eastAsia="zh-CN"/>
              </w:rPr>
              <w:t>2</w:t>
            </w:r>
          </w:p>
        </w:tc>
        <w:tc>
          <w:tcPr>
            <w:tcW w:w="1357" w:type="pct"/>
            <w:tcMar>
              <w:top w:w="75" w:type="dxa"/>
              <w:left w:w="150" w:type="dxa"/>
              <w:bottom w:w="75" w:type="dxa"/>
              <w:right w:w="150" w:type="dxa"/>
            </w:tcMar>
            <w:vAlign w:val="center"/>
          </w:tcPr>
          <w:p w14:paraId="5C93D939">
            <w:pPr>
              <w:keepNext w:val="0"/>
              <w:keepLines w:val="0"/>
              <w:pageBreakBefore w:val="0"/>
              <w:widowControl/>
              <w:kinsoku/>
              <w:overflowPunct/>
              <w:bidi w:val="0"/>
              <w:spacing w:after="150" w:line="360" w:lineRule="auto"/>
              <w:jc w:val="center"/>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超声诊断系统采购</w:t>
            </w:r>
          </w:p>
        </w:tc>
        <w:tc>
          <w:tcPr>
            <w:tcW w:w="1675" w:type="pct"/>
            <w:tcMar>
              <w:top w:w="75" w:type="dxa"/>
              <w:left w:w="150" w:type="dxa"/>
              <w:bottom w:w="75" w:type="dxa"/>
              <w:right w:w="150" w:type="dxa"/>
            </w:tcMar>
            <w:vAlign w:val="center"/>
          </w:tcPr>
          <w:p w14:paraId="1E1CC9F2">
            <w:pPr>
              <w:keepNext w:val="0"/>
              <w:keepLines w:val="0"/>
              <w:pageBreakBefore w:val="0"/>
              <w:widowControl/>
              <w:kinsoku/>
              <w:overflowPunct/>
              <w:bidi w:val="0"/>
              <w:spacing w:after="150" w:line="360" w:lineRule="auto"/>
              <w:jc w:val="center"/>
              <w:rPr>
                <w:rFonts w:cs="宋体" w:asciiTheme="majorEastAsia" w:hAnsiTheme="majorEastAsia" w:eastAsiaTheme="majorEastAsia"/>
                <w:kern w:val="0"/>
                <w:sz w:val="24"/>
                <w:szCs w:val="24"/>
              </w:rPr>
            </w:pPr>
            <w:r>
              <w:rPr>
                <w:rFonts w:hint="eastAsia" w:ascii="宋体" w:hAnsi="宋体" w:eastAsia="宋体" w:cs="Times New Roman"/>
                <w:color w:val="auto"/>
                <w:sz w:val="24"/>
                <w:szCs w:val="24"/>
              </w:rPr>
              <w:t>根据柳州市财政局监督检查处理决定书</w:t>
            </w:r>
            <w:r>
              <w:rPr>
                <w:rFonts w:hint="eastAsia" w:ascii="宋体" w:hAnsi="宋体" w:cs="Times New Roman"/>
                <w:color w:val="auto"/>
                <w:sz w:val="24"/>
                <w:szCs w:val="24"/>
                <w:lang w:val="en-US" w:eastAsia="zh-CN"/>
              </w:rPr>
              <w:t>（柳财采〔2024〕27号）的决定，因对招标文件作实质性响应的供应商不足三家，</w:t>
            </w:r>
            <w:r>
              <w:rPr>
                <w:rFonts w:hint="eastAsia" w:ascii="宋体" w:hAnsi="宋体" w:eastAsia="宋体" w:cs="Times New Roman"/>
                <w:color w:val="auto"/>
                <w:sz w:val="24"/>
                <w:szCs w:val="24"/>
              </w:rPr>
              <w:t>本</w:t>
            </w:r>
            <w:r>
              <w:rPr>
                <w:rFonts w:hint="eastAsia" w:ascii="宋体" w:hAnsi="宋体" w:cs="Times New Roman"/>
                <w:color w:val="auto"/>
                <w:sz w:val="24"/>
                <w:szCs w:val="24"/>
                <w:lang w:val="en-US" w:eastAsia="zh-CN"/>
              </w:rPr>
              <w:t>分标</w:t>
            </w:r>
            <w:r>
              <w:rPr>
                <w:rFonts w:hint="eastAsia" w:ascii="宋体" w:hAnsi="宋体" w:eastAsia="宋体" w:cs="Times New Roman"/>
                <w:color w:val="auto"/>
                <w:sz w:val="24"/>
                <w:szCs w:val="24"/>
              </w:rPr>
              <w:t>废标。</w:t>
            </w:r>
          </w:p>
        </w:tc>
        <w:tc>
          <w:tcPr>
            <w:tcW w:w="1399" w:type="pct"/>
            <w:tcMar>
              <w:top w:w="75" w:type="dxa"/>
              <w:left w:w="150" w:type="dxa"/>
              <w:bottom w:w="75" w:type="dxa"/>
              <w:right w:w="150" w:type="dxa"/>
            </w:tcMar>
            <w:vAlign w:val="center"/>
          </w:tcPr>
          <w:p w14:paraId="397566FE">
            <w:pPr>
              <w:keepNext w:val="0"/>
              <w:keepLines w:val="0"/>
              <w:pageBreakBefore w:val="0"/>
              <w:widowControl/>
              <w:kinsoku/>
              <w:overflowPunct/>
              <w:bidi w:val="0"/>
              <w:spacing w:after="150" w:line="360" w:lineRule="auto"/>
              <w:jc w:val="center"/>
              <w:rPr>
                <w:rFonts w:ascii="宋体" w:hAnsi="宋体" w:cs="宋体"/>
                <w:kern w:val="0"/>
                <w:sz w:val="24"/>
                <w:szCs w:val="24"/>
              </w:rPr>
            </w:pPr>
          </w:p>
        </w:tc>
      </w:tr>
    </w:tbl>
    <w:p w14:paraId="4058284F">
      <w:pPr>
        <w:keepNext w:val="0"/>
        <w:keepLines w:val="0"/>
        <w:pageBreakBefore w:val="0"/>
        <w:widowControl/>
        <w:kinsoku/>
        <w:overflowPunct/>
        <w:bidi w:val="0"/>
        <w:spacing w:line="360" w:lineRule="auto"/>
        <w:jc w:val="left"/>
        <w:rPr>
          <w:rFonts w:ascii="黑体" w:hAnsi="黑体" w:eastAsia="黑体" w:cs="宋体"/>
          <w:kern w:val="0"/>
          <w:sz w:val="27"/>
          <w:szCs w:val="27"/>
        </w:rPr>
      </w:pPr>
      <w:r>
        <w:rPr>
          <w:rFonts w:hint="eastAsia" w:ascii="宋体" w:hAnsi="宋体" w:cs="Arial"/>
          <w:b/>
          <w:bCs/>
          <w:kern w:val="0"/>
          <w:sz w:val="24"/>
          <w:szCs w:val="24"/>
        </w:rPr>
        <w:t>四、主要标的信息</w:t>
      </w:r>
    </w:p>
    <w:p w14:paraId="7FCE2E18">
      <w:pPr>
        <w:keepNext w:val="0"/>
        <w:keepLines w:val="0"/>
        <w:pageBreakBefore w:val="0"/>
        <w:widowControl/>
        <w:kinsoku/>
        <w:overflowPunct/>
        <w:bidi w:val="0"/>
        <w:spacing w:before="75" w:after="75"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货物</w:t>
      </w:r>
      <w:r>
        <w:rPr>
          <w:rFonts w:ascii="宋体" w:hAnsi="宋体" w:cs="宋体"/>
          <w:kern w:val="0"/>
          <w:sz w:val="24"/>
          <w:szCs w:val="24"/>
        </w:rPr>
        <w:t>类主要标的信息：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8"/>
        <w:gridCol w:w="1984"/>
        <w:gridCol w:w="1472"/>
        <w:gridCol w:w="915"/>
        <w:gridCol w:w="1740"/>
        <w:gridCol w:w="1668"/>
        <w:gridCol w:w="1554"/>
      </w:tblGrid>
      <w:tr w14:paraId="6DC5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7" w:type="pct"/>
            <w:tcMar>
              <w:top w:w="75" w:type="dxa"/>
              <w:left w:w="150" w:type="dxa"/>
              <w:bottom w:w="75" w:type="dxa"/>
              <w:right w:w="150" w:type="dxa"/>
            </w:tcMar>
            <w:vAlign w:val="center"/>
          </w:tcPr>
          <w:p w14:paraId="703A2494">
            <w:pPr>
              <w:keepNext w:val="0"/>
              <w:keepLines w:val="0"/>
              <w:pageBreakBefore w:val="0"/>
              <w:widowControl/>
              <w:kinsoku/>
              <w:overflowPunct/>
              <w:autoSpaceDE/>
              <w:autoSpaceDN/>
              <w:bidi w:val="0"/>
              <w:adjustRightInd/>
              <w:spacing w:after="150" w:line="400" w:lineRule="exact"/>
              <w:jc w:val="center"/>
              <w:rPr>
                <w:rFonts w:ascii="宋体" w:hAnsi="宋体" w:cs="宋体"/>
                <w:color w:val="auto"/>
                <w:kern w:val="0"/>
                <w:sz w:val="24"/>
                <w:szCs w:val="24"/>
              </w:rPr>
            </w:pPr>
            <w:r>
              <w:rPr>
                <w:rFonts w:ascii="宋体" w:hAnsi="宋体" w:cs="宋体"/>
                <w:color w:val="auto"/>
                <w:kern w:val="0"/>
                <w:sz w:val="24"/>
                <w:szCs w:val="24"/>
              </w:rPr>
              <w:t>序号</w:t>
            </w:r>
          </w:p>
        </w:tc>
        <w:tc>
          <w:tcPr>
            <w:tcW w:w="986" w:type="pct"/>
            <w:tcMar>
              <w:top w:w="75" w:type="dxa"/>
              <w:left w:w="150" w:type="dxa"/>
              <w:bottom w:w="75" w:type="dxa"/>
              <w:right w:w="150" w:type="dxa"/>
            </w:tcMar>
            <w:vAlign w:val="center"/>
          </w:tcPr>
          <w:p w14:paraId="246EF482">
            <w:pPr>
              <w:keepNext w:val="0"/>
              <w:keepLines w:val="0"/>
              <w:pageBreakBefore w:val="0"/>
              <w:widowControl/>
              <w:kinsoku/>
              <w:overflowPunct/>
              <w:autoSpaceDE/>
              <w:autoSpaceDN/>
              <w:bidi w:val="0"/>
              <w:adjustRightInd/>
              <w:spacing w:after="150" w:line="400" w:lineRule="exact"/>
              <w:jc w:val="center"/>
              <w:rPr>
                <w:rFonts w:ascii="宋体" w:hAnsi="宋体" w:cs="宋体"/>
                <w:color w:val="auto"/>
                <w:kern w:val="0"/>
                <w:sz w:val="24"/>
                <w:szCs w:val="24"/>
              </w:rPr>
            </w:pPr>
            <w:r>
              <w:rPr>
                <w:rFonts w:ascii="宋体" w:hAnsi="宋体" w:cs="宋体"/>
                <w:color w:val="auto"/>
                <w:kern w:val="0"/>
                <w:sz w:val="24"/>
                <w:szCs w:val="24"/>
              </w:rPr>
              <w:t>标项名称</w:t>
            </w:r>
          </w:p>
        </w:tc>
        <w:tc>
          <w:tcPr>
            <w:tcW w:w="732" w:type="pct"/>
            <w:tcMar>
              <w:top w:w="75" w:type="dxa"/>
              <w:left w:w="150" w:type="dxa"/>
              <w:bottom w:w="75" w:type="dxa"/>
              <w:right w:w="150" w:type="dxa"/>
            </w:tcMar>
            <w:vAlign w:val="center"/>
          </w:tcPr>
          <w:p w14:paraId="5030E900">
            <w:pPr>
              <w:keepNext w:val="0"/>
              <w:keepLines w:val="0"/>
              <w:pageBreakBefore w:val="0"/>
              <w:widowControl/>
              <w:kinsoku/>
              <w:overflowPunct/>
              <w:autoSpaceDE/>
              <w:autoSpaceDN/>
              <w:bidi w:val="0"/>
              <w:adjustRightInd/>
              <w:spacing w:after="150" w:line="400" w:lineRule="exact"/>
              <w:jc w:val="center"/>
              <w:rPr>
                <w:rFonts w:ascii="宋体" w:hAnsi="宋体" w:cs="宋体"/>
                <w:color w:val="auto"/>
                <w:kern w:val="0"/>
                <w:sz w:val="24"/>
                <w:szCs w:val="24"/>
              </w:rPr>
            </w:pPr>
            <w:r>
              <w:rPr>
                <w:rFonts w:ascii="宋体" w:hAnsi="宋体" w:cs="宋体"/>
                <w:color w:val="auto"/>
                <w:kern w:val="0"/>
                <w:sz w:val="24"/>
                <w:szCs w:val="24"/>
              </w:rPr>
              <w:t>标的名称</w:t>
            </w:r>
          </w:p>
        </w:tc>
        <w:tc>
          <w:tcPr>
            <w:tcW w:w="455" w:type="pct"/>
            <w:tcMar>
              <w:top w:w="75" w:type="dxa"/>
              <w:left w:w="150" w:type="dxa"/>
              <w:bottom w:w="75" w:type="dxa"/>
              <w:right w:w="150" w:type="dxa"/>
            </w:tcMar>
            <w:vAlign w:val="center"/>
          </w:tcPr>
          <w:p w14:paraId="1C6F6FE4">
            <w:pPr>
              <w:keepNext w:val="0"/>
              <w:keepLines w:val="0"/>
              <w:pageBreakBefore w:val="0"/>
              <w:widowControl/>
              <w:kinsoku/>
              <w:overflowPunct/>
              <w:autoSpaceDE/>
              <w:autoSpaceDN/>
              <w:bidi w:val="0"/>
              <w:adjustRightInd/>
              <w:spacing w:after="150" w:line="400" w:lineRule="exact"/>
              <w:jc w:val="center"/>
              <w:rPr>
                <w:rFonts w:ascii="宋体" w:hAnsi="宋体" w:cs="宋体"/>
                <w:color w:val="auto"/>
                <w:kern w:val="0"/>
                <w:sz w:val="24"/>
                <w:szCs w:val="24"/>
              </w:rPr>
            </w:pPr>
            <w:r>
              <w:rPr>
                <w:rFonts w:ascii="宋体" w:hAnsi="宋体" w:cs="宋体"/>
                <w:color w:val="auto"/>
                <w:kern w:val="0"/>
                <w:sz w:val="24"/>
                <w:szCs w:val="24"/>
              </w:rPr>
              <w:t>品牌</w:t>
            </w:r>
          </w:p>
        </w:tc>
        <w:tc>
          <w:tcPr>
            <w:tcW w:w="865" w:type="pct"/>
            <w:tcMar>
              <w:top w:w="75" w:type="dxa"/>
              <w:left w:w="150" w:type="dxa"/>
              <w:bottom w:w="75" w:type="dxa"/>
              <w:right w:w="150" w:type="dxa"/>
            </w:tcMar>
            <w:vAlign w:val="center"/>
          </w:tcPr>
          <w:p w14:paraId="5F9AA9BF">
            <w:pPr>
              <w:keepNext w:val="0"/>
              <w:keepLines w:val="0"/>
              <w:pageBreakBefore w:val="0"/>
              <w:widowControl/>
              <w:kinsoku/>
              <w:overflowPunct/>
              <w:autoSpaceDE/>
              <w:autoSpaceDN/>
              <w:bidi w:val="0"/>
              <w:adjustRightInd/>
              <w:spacing w:after="150" w:line="400" w:lineRule="exact"/>
              <w:jc w:val="center"/>
              <w:rPr>
                <w:rFonts w:ascii="宋体" w:hAnsi="宋体" w:cs="宋体"/>
                <w:color w:val="auto"/>
                <w:kern w:val="0"/>
                <w:sz w:val="24"/>
                <w:szCs w:val="24"/>
              </w:rPr>
            </w:pPr>
            <w:r>
              <w:rPr>
                <w:rFonts w:ascii="宋体" w:hAnsi="宋体" w:cs="宋体"/>
                <w:color w:val="auto"/>
                <w:kern w:val="0"/>
                <w:sz w:val="24"/>
                <w:szCs w:val="24"/>
              </w:rPr>
              <w:t>数量</w:t>
            </w:r>
          </w:p>
        </w:tc>
        <w:tc>
          <w:tcPr>
            <w:tcW w:w="829" w:type="pct"/>
            <w:tcMar>
              <w:top w:w="75" w:type="dxa"/>
              <w:left w:w="150" w:type="dxa"/>
              <w:bottom w:w="75" w:type="dxa"/>
              <w:right w:w="150" w:type="dxa"/>
            </w:tcMar>
            <w:vAlign w:val="center"/>
          </w:tcPr>
          <w:p w14:paraId="3397CDFD">
            <w:pPr>
              <w:keepNext w:val="0"/>
              <w:keepLines w:val="0"/>
              <w:pageBreakBefore w:val="0"/>
              <w:widowControl/>
              <w:kinsoku/>
              <w:overflowPunct/>
              <w:autoSpaceDE/>
              <w:autoSpaceDN/>
              <w:bidi w:val="0"/>
              <w:adjustRightInd/>
              <w:spacing w:after="150" w:line="400" w:lineRule="exact"/>
              <w:jc w:val="center"/>
              <w:rPr>
                <w:rFonts w:ascii="宋体" w:hAnsi="宋体" w:cs="宋体"/>
                <w:color w:val="auto"/>
                <w:kern w:val="0"/>
                <w:sz w:val="24"/>
                <w:szCs w:val="24"/>
              </w:rPr>
            </w:pPr>
            <w:r>
              <w:rPr>
                <w:rFonts w:ascii="宋体" w:hAnsi="宋体" w:cs="宋体"/>
                <w:color w:val="auto"/>
                <w:kern w:val="0"/>
                <w:sz w:val="24"/>
                <w:szCs w:val="24"/>
              </w:rPr>
              <w:t>单价（元）</w:t>
            </w:r>
          </w:p>
        </w:tc>
        <w:tc>
          <w:tcPr>
            <w:tcW w:w="773" w:type="pct"/>
            <w:tcMar>
              <w:top w:w="75" w:type="dxa"/>
              <w:left w:w="150" w:type="dxa"/>
              <w:bottom w:w="75" w:type="dxa"/>
              <w:right w:w="150" w:type="dxa"/>
            </w:tcMar>
            <w:vAlign w:val="center"/>
          </w:tcPr>
          <w:p w14:paraId="2A999E1E">
            <w:pPr>
              <w:keepNext w:val="0"/>
              <w:keepLines w:val="0"/>
              <w:pageBreakBefore w:val="0"/>
              <w:widowControl/>
              <w:kinsoku/>
              <w:overflowPunct/>
              <w:autoSpaceDE/>
              <w:autoSpaceDN/>
              <w:bidi w:val="0"/>
              <w:adjustRightInd/>
              <w:spacing w:after="150" w:line="400" w:lineRule="exact"/>
              <w:jc w:val="center"/>
              <w:rPr>
                <w:rFonts w:ascii="宋体" w:hAnsi="宋体" w:cs="宋体"/>
                <w:color w:val="auto"/>
                <w:kern w:val="0"/>
                <w:sz w:val="24"/>
                <w:szCs w:val="24"/>
              </w:rPr>
            </w:pPr>
            <w:r>
              <w:rPr>
                <w:rFonts w:ascii="宋体" w:hAnsi="宋体" w:cs="宋体"/>
                <w:color w:val="auto"/>
                <w:kern w:val="0"/>
                <w:sz w:val="24"/>
                <w:szCs w:val="24"/>
              </w:rPr>
              <w:t>规格型号</w:t>
            </w:r>
          </w:p>
        </w:tc>
      </w:tr>
      <w:tr w14:paraId="5489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9" w:hRule="atLeast"/>
        </w:trPr>
        <w:tc>
          <w:tcPr>
            <w:tcW w:w="357" w:type="pct"/>
            <w:tcMar>
              <w:top w:w="75" w:type="dxa"/>
              <w:left w:w="150" w:type="dxa"/>
              <w:bottom w:w="75" w:type="dxa"/>
              <w:right w:w="150" w:type="dxa"/>
            </w:tcMar>
            <w:vAlign w:val="center"/>
          </w:tcPr>
          <w:p w14:paraId="373436FA">
            <w:pPr>
              <w:keepNext w:val="0"/>
              <w:keepLines w:val="0"/>
              <w:pageBreakBefore w:val="0"/>
              <w:kinsoku/>
              <w:overflowPunct/>
              <w:autoSpaceDE/>
              <w:autoSpaceDN/>
              <w:bidi w:val="0"/>
              <w:adjustRightInd/>
              <w:spacing w:line="400" w:lineRule="exact"/>
              <w:jc w:val="center"/>
              <w:rPr>
                <w:rFonts w:ascii="宋体" w:hAnsi="宋体" w:cs="宋体"/>
                <w:color w:val="auto"/>
                <w:sz w:val="24"/>
                <w:szCs w:val="24"/>
              </w:rPr>
            </w:pPr>
            <w:r>
              <w:rPr>
                <w:rFonts w:hint="eastAsia" w:ascii="宋体" w:hAnsi="宋体" w:cs="宋体"/>
                <w:color w:val="auto"/>
                <w:sz w:val="24"/>
                <w:szCs w:val="24"/>
              </w:rPr>
              <w:t>1</w:t>
            </w:r>
          </w:p>
        </w:tc>
        <w:tc>
          <w:tcPr>
            <w:tcW w:w="986" w:type="pct"/>
            <w:tcMar>
              <w:top w:w="75" w:type="dxa"/>
              <w:left w:w="150" w:type="dxa"/>
              <w:bottom w:w="75" w:type="dxa"/>
              <w:right w:w="150" w:type="dxa"/>
            </w:tcMar>
            <w:vAlign w:val="center"/>
          </w:tcPr>
          <w:p w14:paraId="6364BABF">
            <w:pPr>
              <w:keepNext w:val="0"/>
              <w:keepLines w:val="0"/>
              <w:pageBreakBefore w:val="0"/>
              <w:kinsoku/>
              <w:overflowPunct/>
              <w:autoSpaceDE/>
              <w:autoSpaceDN/>
              <w:bidi w:val="0"/>
              <w:adjustRightInd/>
              <w:spacing w:line="400" w:lineRule="exact"/>
              <w:jc w:val="center"/>
              <w:rPr>
                <w:rFonts w:ascii="宋体" w:hAnsi="宋体"/>
                <w:color w:val="auto"/>
                <w:sz w:val="24"/>
                <w:szCs w:val="24"/>
              </w:rPr>
            </w:pPr>
            <w:r>
              <w:rPr>
                <w:rFonts w:ascii="宋体" w:hAnsi="宋体"/>
                <w:color w:val="auto"/>
                <w:sz w:val="24"/>
                <w:szCs w:val="24"/>
              </w:rPr>
              <w:t>C型臂采购</w:t>
            </w:r>
          </w:p>
        </w:tc>
        <w:tc>
          <w:tcPr>
            <w:tcW w:w="732" w:type="pct"/>
            <w:tcMar>
              <w:top w:w="75" w:type="dxa"/>
              <w:left w:w="150" w:type="dxa"/>
              <w:bottom w:w="75" w:type="dxa"/>
              <w:right w:w="150" w:type="dxa"/>
            </w:tcMar>
            <w:vAlign w:val="center"/>
          </w:tcPr>
          <w:p w14:paraId="665DEAEF">
            <w:pPr>
              <w:keepNext w:val="0"/>
              <w:keepLines w:val="0"/>
              <w:pageBreakBefore w:val="0"/>
              <w:kinsoku/>
              <w:overflowPunct/>
              <w:autoSpaceDE/>
              <w:autoSpaceDN/>
              <w:bidi w:val="0"/>
              <w:adjustRightInd/>
              <w:spacing w:line="400" w:lineRule="exact"/>
              <w:jc w:val="center"/>
              <w:rPr>
                <w:rFonts w:hint="eastAsia" w:ascii="宋体" w:hAnsi="宋体" w:cs="Arial"/>
                <w:bCs/>
                <w:color w:val="auto"/>
                <w:kern w:val="0"/>
                <w:sz w:val="24"/>
                <w:szCs w:val="24"/>
              </w:rPr>
            </w:pPr>
            <w:r>
              <w:rPr>
                <w:rFonts w:hint="eastAsia" w:ascii="宋体" w:hAnsi="宋体" w:cs="Arial"/>
                <w:bCs/>
                <w:color w:val="auto"/>
                <w:kern w:val="0"/>
                <w:sz w:val="24"/>
                <w:szCs w:val="24"/>
              </w:rPr>
              <w:t>C型臂</w:t>
            </w:r>
          </w:p>
        </w:tc>
        <w:tc>
          <w:tcPr>
            <w:tcW w:w="455" w:type="pct"/>
            <w:tcMar>
              <w:top w:w="75" w:type="dxa"/>
              <w:left w:w="150" w:type="dxa"/>
              <w:bottom w:w="75" w:type="dxa"/>
              <w:right w:w="150" w:type="dxa"/>
            </w:tcMar>
            <w:vAlign w:val="center"/>
          </w:tcPr>
          <w:p w14:paraId="18390162">
            <w:pPr>
              <w:keepNext w:val="0"/>
              <w:keepLines w:val="0"/>
              <w:pageBreakBefore w:val="0"/>
              <w:kinsoku/>
              <w:wordWrap w:val="0"/>
              <w:overflowPunct/>
              <w:autoSpaceDE/>
              <w:autoSpaceDN/>
              <w:bidi w:val="0"/>
              <w:adjustRightInd/>
              <w:spacing w:line="40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万东鼎立</w:t>
            </w:r>
          </w:p>
        </w:tc>
        <w:tc>
          <w:tcPr>
            <w:tcW w:w="865" w:type="pct"/>
            <w:tcMar>
              <w:top w:w="75" w:type="dxa"/>
              <w:left w:w="150" w:type="dxa"/>
              <w:bottom w:w="75" w:type="dxa"/>
              <w:right w:w="150" w:type="dxa"/>
            </w:tcMar>
            <w:vAlign w:val="center"/>
          </w:tcPr>
          <w:p w14:paraId="17990A97">
            <w:pPr>
              <w:keepNext w:val="0"/>
              <w:keepLines w:val="0"/>
              <w:pageBreakBefore w:val="0"/>
              <w:kinsoku/>
              <w:overflowPunct/>
              <w:autoSpaceDE/>
              <w:autoSpaceDN/>
              <w:bidi w:val="0"/>
              <w:adjustRightInd/>
              <w:spacing w:line="400" w:lineRule="exac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1套</w:t>
            </w:r>
          </w:p>
        </w:tc>
        <w:tc>
          <w:tcPr>
            <w:tcW w:w="829" w:type="pct"/>
            <w:tcMar>
              <w:top w:w="75" w:type="dxa"/>
              <w:left w:w="150" w:type="dxa"/>
              <w:bottom w:w="75" w:type="dxa"/>
              <w:right w:w="150" w:type="dxa"/>
            </w:tcMar>
            <w:vAlign w:val="center"/>
          </w:tcPr>
          <w:p w14:paraId="5A59BD15">
            <w:pPr>
              <w:keepNext w:val="0"/>
              <w:keepLines w:val="0"/>
              <w:pageBreakBefore w:val="0"/>
              <w:kinsoku/>
              <w:overflowPunct/>
              <w:autoSpaceDE/>
              <w:autoSpaceDN/>
              <w:bidi w:val="0"/>
              <w:adjustRightInd/>
              <w:spacing w:line="400" w:lineRule="exact"/>
              <w:jc w:val="center"/>
              <w:rPr>
                <w:rFonts w:hint="eastAsia" w:ascii="宋体" w:hAnsi="宋体"/>
                <w:color w:val="auto"/>
                <w:sz w:val="24"/>
                <w:szCs w:val="24"/>
              </w:rPr>
            </w:pPr>
            <w:r>
              <w:rPr>
                <w:rFonts w:hint="eastAsia" w:ascii="宋体" w:hAnsi="宋体"/>
                <w:color w:val="auto"/>
                <w:sz w:val="24"/>
                <w:szCs w:val="24"/>
                <w:lang w:val="en-US" w:eastAsia="zh-CN"/>
              </w:rPr>
              <w:t>1554000</w:t>
            </w:r>
          </w:p>
        </w:tc>
        <w:tc>
          <w:tcPr>
            <w:tcW w:w="773" w:type="pct"/>
            <w:tcMar>
              <w:top w:w="75" w:type="dxa"/>
              <w:left w:w="150" w:type="dxa"/>
              <w:bottom w:w="75" w:type="dxa"/>
              <w:right w:w="150" w:type="dxa"/>
            </w:tcMar>
            <w:vAlign w:val="center"/>
          </w:tcPr>
          <w:p w14:paraId="3CC65840">
            <w:pPr>
              <w:keepNext w:val="0"/>
              <w:keepLines w:val="0"/>
              <w:pageBreakBefore w:val="0"/>
              <w:widowControl/>
              <w:kinsoku/>
              <w:overflowPunct/>
              <w:autoSpaceDE/>
              <w:autoSpaceDN/>
              <w:bidi w:val="0"/>
              <w:adjustRightInd/>
              <w:spacing w:line="400" w:lineRule="exact"/>
              <w:jc w:val="center"/>
              <w:textAlignment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HHMC-200D</w:t>
            </w:r>
          </w:p>
        </w:tc>
      </w:tr>
    </w:tbl>
    <w:p w14:paraId="25E88E41">
      <w:pPr>
        <w:keepNext w:val="0"/>
        <w:keepLines w:val="0"/>
        <w:pageBreakBefore w:val="0"/>
        <w:widowControl/>
        <w:kinsoku/>
        <w:overflowPunct/>
        <w:bidi w:val="0"/>
        <w:spacing w:before="75" w:after="75" w:line="360" w:lineRule="auto"/>
        <w:jc w:val="left"/>
        <w:rPr>
          <w:rFonts w:ascii="宋体" w:hAnsi="宋体" w:cs="宋体"/>
          <w:kern w:val="0"/>
          <w:sz w:val="24"/>
          <w:szCs w:val="24"/>
        </w:rPr>
      </w:pPr>
      <w:r>
        <w:rPr>
          <w:rFonts w:hint="eastAsia" w:ascii="宋体" w:hAnsi="宋体" w:cs="Arial"/>
          <w:b/>
          <w:bCs/>
          <w:kern w:val="0"/>
          <w:sz w:val="24"/>
          <w:szCs w:val="24"/>
        </w:rPr>
        <w:t>五、评审专家（单一来源采购人员）名单：</w:t>
      </w:r>
    </w:p>
    <w:p w14:paraId="6C8BF2DB">
      <w:pPr>
        <w:keepNext w:val="0"/>
        <w:keepLines w:val="0"/>
        <w:pageBreakBefore w:val="0"/>
        <w:widowControl/>
        <w:kinsoku/>
        <w:overflowPunct/>
        <w:bidi w:val="0"/>
        <w:spacing w:before="75" w:after="75" w:line="360" w:lineRule="auto"/>
        <w:ind w:firstLine="480" w:firstLineChars="200"/>
        <w:jc w:val="left"/>
        <w:rPr>
          <w:rFonts w:ascii="宋体" w:hAnsi="宋体" w:cs="Arial"/>
          <w:kern w:val="0"/>
          <w:sz w:val="24"/>
          <w:szCs w:val="24"/>
        </w:rPr>
      </w:pPr>
      <w:r>
        <w:rPr>
          <w:rFonts w:hint="eastAsia" w:ascii="宋体" w:hAnsi="宋体" w:cs="Arial"/>
          <w:kern w:val="0"/>
          <w:sz w:val="24"/>
          <w:szCs w:val="24"/>
          <w:lang w:val="en-US" w:eastAsia="zh-CN"/>
        </w:rPr>
        <w:t>彭月娥，潘柳萍，粟晖，谢华奕（第1、2分标采购人代表），熊建文   </w:t>
      </w:r>
    </w:p>
    <w:p w14:paraId="04698552">
      <w:pPr>
        <w:keepNext w:val="0"/>
        <w:keepLines w:val="0"/>
        <w:pageBreakBefore w:val="0"/>
        <w:widowControl/>
        <w:kinsoku/>
        <w:overflowPunct/>
        <w:bidi w:val="0"/>
        <w:spacing w:line="360" w:lineRule="auto"/>
        <w:jc w:val="left"/>
        <w:rPr>
          <w:rFonts w:ascii="黑体" w:hAnsi="黑体" w:eastAsia="黑体" w:cs="宋体"/>
          <w:kern w:val="0"/>
          <w:sz w:val="27"/>
          <w:szCs w:val="27"/>
        </w:rPr>
      </w:pPr>
      <w:r>
        <w:rPr>
          <w:rFonts w:hint="eastAsia" w:ascii="宋体" w:hAnsi="宋体" w:cs="Arial"/>
          <w:b/>
          <w:bCs/>
          <w:kern w:val="0"/>
          <w:sz w:val="24"/>
          <w:szCs w:val="24"/>
        </w:rPr>
        <w:t>六、代理服务收费标准及金额：</w:t>
      </w:r>
    </w:p>
    <w:p w14:paraId="0D1D45AD">
      <w:pPr>
        <w:keepNext w:val="0"/>
        <w:keepLines w:val="0"/>
        <w:pageBreakBefore w:val="0"/>
        <w:widowControl/>
        <w:kinsoku/>
        <w:wordWrap w:val="0"/>
        <w:overflowPunct/>
        <w:topLinePunct/>
        <w:bidi w:val="0"/>
        <w:spacing w:before="75" w:after="75" w:line="360" w:lineRule="auto"/>
        <w:ind w:firstLine="480" w:firstLineChars="200"/>
        <w:jc w:val="left"/>
        <w:rPr>
          <w:rFonts w:ascii="宋体" w:hAnsi="宋体" w:cs="宋体"/>
          <w:kern w:val="0"/>
          <w:sz w:val="24"/>
          <w:szCs w:val="24"/>
        </w:rPr>
      </w:pPr>
      <w:r>
        <w:rPr>
          <w:rFonts w:ascii="宋体" w:hAnsi="宋体" w:cs="宋体"/>
          <w:kern w:val="0"/>
          <w:sz w:val="24"/>
          <w:szCs w:val="24"/>
        </w:rPr>
        <w:t>1.代理服务收费标准：</w:t>
      </w:r>
      <w:r>
        <w:rPr>
          <w:rFonts w:hint="eastAsia" w:ascii="宋体" w:hAnsi="宋体" w:cs="宋体"/>
          <w:kern w:val="0"/>
          <w:sz w:val="24"/>
          <w:szCs w:val="24"/>
        </w:rPr>
        <w:t>本项目的代理服务费按</w:t>
      </w:r>
      <w:r>
        <w:rPr>
          <w:rFonts w:hint="eastAsia" w:ascii="宋体" w:hAnsi="宋体" w:cs="宋体"/>
          <w:kern w:val="0"/>
          <w:sz w:val="24"/>
          <w:szCs w:val="24"/>
          <w:lang w:val="en-US" w:eastAsia="zh-CN"/>
        </w:rPr>
        <w:t>招标</w:t>
      </w:r>
      <w:r>
        <w:rPr>
          <w:rFonts w:hint="eastAsia" w:ascii="宋体" w:hAnsi="宋体" w:cs="宋体"/>
          <w:kern w:val="0"/>
          <w:sz w:val="24"/>
          <w:szCs w:val="24"/>
        </w:rPr>
        <w:t>文件</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投标人须知</w:t>
      </w:r>
      <w:r>
        <w:rPr>
          <w:rFonts w:hint="eastAsia" w:ascii="宋体" w:hAnsi="宋体" w:cs="宋体"/>
          <w:kern w:val="0"/>
          <w:sz w:val="24"/>
          <w:szCs w:val="24"/>
          <w:lang w:eastAsia="zh-CN"/>
        </w:rPr>
        <w:t>”</w:t>
      </w:r>
      <w:r>
        <w:rPr>
          <w:rFonts w:hint="eastAsia" w:ascii="宋体" w:hAnsi="宋体" w:cs="宋体"/>
          <w:kern w:val="0"/>
          <w:sz w:val="24"/>
          <w:szCs w:val="24"/>
        </w:rPr>
        <w:t>第40.2款规定的标准采用差额定率累进计费方式下浮20%计算（取整到元），由中标供应商向采购代理机构支付。</w:t>
      </w:r>
      <w:bookmarkStart w:id="3" w:name="_GoBack"/>
      <w:bookmarkEnd w:id="3"/>
    </w:p>
    <w:p w14:paraId="7202F4C9">
      <w:pPr>
        <w:keepNext w:val="0"/>
        <w:keepLines w:val="0"/>
        <w:pageBreakBefore w:val="0"/>
        <w:widowControl/>
        <w:kinsoku/>
        <w:wordWrap w:val="0"/>
        <w:overflowPunct/>
        <w:topLinePunct/>
        <w:bidi w:val="0"/>
        <w:spacing w:before="75" w:after="75" w:line="360" w:lineRule="auto"/>
        <w:ind w:firstLine="480" w:firstLineChars="200"/>
        <w:jc w:val="left"/>
        <w:rPr>
          <w:rFonts w:hint="default" w:ascii="宋体" w:hAnsi="宋体" w:eastAsia="宋体" w:cs="宋体"/>
          <w:kern w:val="0"/>
          <w:sz w:val="24"/>
          <w:szCs w:val="24"/>
          <w:lang w:val="en-US" w:eastAsia="zh-CN"/>
        </w:rPr>
      </w:pPr>
      <w:r>
        <w:rPr>
          <w:rFonts w:ascii="宋体" w:hAnsi="宋体" w:cs="宋体"/>
          <w:kern w:val="0"/>
          <w:sz w:val="24"/>
          <w:szCs w:val="24"/>
        </w:rPr>
        <w:t>2.代理服务收费金额（元）：</w:t>
      </w:r>
      <w:r>
        <w:rPr>
          <w:rFonts w:hint="eastAsia" w:ascii="宋体" w:hAnsi="宋体" w:cs="Arial"/>
          <w:kern w:val="0"/>
          <w:sz w:val="24"/>
          <w:szCs w:val="24"/>
          <w:lang w:val="en-US" w:eastAsia="zh-CN"/>
        </w:rPr>
        <w:t>16875</w:t>
      </w:r>
    </w:p>
    <w:p w14:paraId="307C103F">
      <w:pPr>
        <w:keepNext w:val="0"/>
        <w:keepLines w:val="0"/>
        <w:pageBreakBefore w:val="0"/>
        <w:widowControl/>
        <w:kinsoku/>
        <w:overflowPunct/>
        <w:bidi w:val="0"/>
        <w:spacing w:line="360" w:lineRule="auto"/>
        <w:jc w:val="left"/>
        <w:rPr>
          <w:rFonts w:ascii="黑体" w:hAnsi="黑体" w:eastAsia="黑体" w:cs="宋体"/>
          <w:kern w:val="0"/>
          <w:sz w:val="27"/>
          <w:szCs w:val="27"/>
        </w:rPr>
      </w:pPr>
      <w:r>
        <w:rPr>
          <w:rFonts w:hint="eastAsia" w:ascii="宋体" w:hAnsi="宋体" w:cs="Arial"/>
          <w:b/>
          <w:bCs/>
          <w:kern w:val="0"/>
          <w:sz w:val="24"/>
          <w:szCs w:val="24"/>
        </w:rPr>
        <w:t>七、公告期限</w:t>
      </w:r>
    </w:p>
    <w:p w14:paraId="3CB2489F">
      <w:pPr>
        <w:keepNext w:val="0"/>
        <w:keepLines w:val="0"/>
        <w:pageBreakBefore w:val="0"/>
        <w:widowControl/>
        <w:kinsoku/>
        <w:overflowPunct/>
        <w:bidi w:val="0"/>
        <w:spacing w:before="75" w:after="75" w:line="360" w:lineRule="auto"/>
        <w:ind w:firstLine="480" w:firstLineChars="200"/>
        <w:jc w:val="left"/>
        <w:rPr>
          <w:rFonts w:ascii="Arial" w:hAnsi="Arial" w:cs="Arial"/>
          <w:kern w:val="0"/>
          <w:sz w:val="24"/>
          <w:szCs w:val="24"/>
        </w:rPr>
      </w:pPr>
      <w:r>
        <w:rPr>
          <w:rFonts w:ascii="宋体" w:hAnsi="宋体" w:cs="宋体"/>
          <w:kern w:val="0"/>
          <w:sz w:val="24"/>
          <w:szCs w:val="24"/>
        </w:rPr>
        <w:t>自本公告发布之日起1个工作日。</w:t>
      </w:r>
    </w:p>
    <w:p w14:paraId="1CC45777">
      <w:pPr>
        <w:keepNext w:val="0"/>
        <w:keepLines w:val="0"/>
        <w:pageBreakBefore w:val="0"/>
        <w:widowControl/>
        <w:kinsoku/>
        <w:overflowPunct/>
        <w:bidi w:val="0"/>
        <w:spacing w:line="360" w:lineRule="auto"/>
        <w:jc w:val="left"/>
        <w:rPr>
          <w:rFonts w:ascii="黑体" w:hAnsi="黑体" w:eastAsia="黑体" w:cs="宋体"/>
          <w:kern w:val="0"/>
          <w:sz w:val="24"/>
          <w:szCs w:val="24"/>
        </w:rPr>
      </w:pPr>
      <w:r>
        <w:rPr>
          <w:rFonts w:hint="eastAsia" w:ascii="宋体" w:hAnsi="宋体" w:cs="Arial"/>
          <w:b/>
          <w:bCs/>
          <w:kern w:val="0"/>
          <w:sz w:val="24"/>
          <w:szCs w:val="24"/>
        </w:rPr>
        <w:t>八、其他补充事宜</w:t>
      </w:r>
    </w:p>
    <w:p w14:paraId="5B80F167">
      <w:pPr>
        <w:keepNext w:val="0"/>
        <w:keepLines w:val="0"/>
        <w:pageBreakBefore w:val="0"/>
        <w:widowControl/>
        <w:kinsoku/>
        <w:wordWrap w:val="0"/>
        <w:overflowPunct/>
        <w:topLinePunct/>
        <w:bidi w:val="0"/>
        <w:spacing w:before="75" w:after="75"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网上查询地址：www.ccgp.gov.cn（中国政府采购网）、zfcg.gxzf.gov.cn（广西壮族自治区政府采购网）、zfcg.lzscz.liuzhou.gov.cn（广西柳州政府采购网）</w:t>
      </w:r>
      <w:r>
        <w:rPr>
          <w:rFonts w:ascii="宋体" w:hAnsi="宋体" w:cs="宋体"/>
          <w:kern w:val="0"/>
          <w:sz w:val="24"/>
          <w:szCs w:val="24"/>
        </w:rPr>
        <w:t>。</w:t>
      </w:r>
    </w:p>
    <w:p w14:paraId="2A1BE72E">
      <w:pPr>
        <w:keepNext w:val="0"/>
        <w:keepLines w:val="0"/>
        <w:pageBreakBefore w:val="0"/>
        <w:widowControl/>
        <w:kinsoku/>
        <w:wordWrap w:val="0"/>
        <w:overflowPunct/>
        <w:topLinePunct/>
        <w:bidi w:val="0"/>
        <w:spacing w:before="75" w:after="75" w:line="360" w:lineRule="auto"/>
        <w:ind w:firstLine="480" w:firstLineChars="200"/>
        <w:jc w:val="left"/>
        <w:rPr>
          <w:rFonts w:ascii="宋体" w:hAnsi="宋体" w:cs="宋体"/>
          <w:kern w:val="0"/>
          <w:sz w:val="24"/>
          <w:szCs w:val="24"/>
        </w:rPr>
      </w:pPr>
      <w:r>
        <w:rPr>
          <w:rFonts w:ascii="宋体" w:hAnsi="宋体" w:cs="宋体"/>
          <w:kern w:val="0"/>
          <w:sz w:val="24"/>
          <w:szCs w:val="24"/>
        </w:rPr>
        <w:t>2.供应商认为中标结果使自己的权益受到损害的，可以在中标结果公告期限届满之日起七个工作日内以书面形式向采购人或采购代理机构提出质疑，逾期将不再受理。</w:t>
      </w:r>
    </w:p>
    <w:p w14:paraId="7F3BB153">
      <w:pPr>
        <w:pStyle w:val="2"/>
        <w:keepNext w:val="0"/>
        <w:keepLines w:val="0"/>
        <w:pageBreakBefore w:val="0"/>
        <w:kinsoku/>
        <w:overflowPunct/>
        <w:bidi w:val="0"/>
        <w:spacing w:line="360" w:lineRule="auto"/>
        <w:ind w:firstLine="480" w:firstLineChars="200"/>
        <w:rPr>
          <w:rFonts w:hint="default" w:hAnsi="宋体" w:cs="宋体"/>
          <w:kern w:val="0"/>
          <w:sz w:val="24"/>
          <w:szCs w:val="24"/>
          <w:lang w:val="en-US" w:eastAsia="zh-CN"/>
        </w:rPr>
      </w:pPr>
      <w:r>
        <w:rPr>
          <w:rFonts w:hint="eastAsia" w:hAnsi="宋体" w:cs="宋体"/>
          <w:kern w:val="0"/>
          <w:sz w:val="24"/>
          <w:szCs w:val="24"/>
          <w:lang w:val="en-US" w:eastAsia="zh-CN"/>
        </w:rPr>
        <w:t>3.001分标中标供应商评审总得分：82.47。</w:t>
      </w:r>
    </w:p>
    <w:p w14:paraId="27DC751F">
      <w:pPr>
        <w:keepNext w:val="0"/>
        <w:keepLines w:val="0"/>
        <w:pageBreakBefore w:val="0"/>
        <w:widowControl/>
        <w:kinsoku/>
        <w:overflowPunct/>
        <w:bidi w:val="0"/>
        <w:spacing w:line="360" w:lineRule="auto"/>
        <w:jc w:val="left"/>
        <w:rPr>
          <w:rFonts w:ascii="黑体" w:hAnsi="黑体" w:eastAsia="黑体" w:cs="宋体"/>
          <w:kern w:val="0"/>
          <w:sz w:val="27"/>
          <w:szCs w:val="27"/>
        </w:rPr>
      </w:pPr>
      <w:r>
        <w:rPr>
          <w:rFonts w:hint="eastAsia" w:ascii="宋体" w:hAnsi="宋体" w:cs="Arial"/>
          <w:b/>
          <w:bCs/>
          <w:kern w:val="0"/>
          <w:sz w:val="24"/>
          <w:szCs w:val="24"/>
        </w:rPr>
        <w:t>九、对本次公告内容提出询问，请按以下方式联系</w:t>
      </w:r>
    </w:p>
    <w:p w14:paraId="09CBE704">
      <w:pPr>
        <w:keepNext w:val="0"/>
        <w:keepLines w:val="0"/>
        <w:pageBreakBefore w:val="0"/>
        <w:kinsoku/>
        <w:overflowPunct/>
        <w:bidi w:val="0"/>
        <w:snapToGrid w:val="0"/>
        <w:spacing w:line="360" w:lineRule="auto"/>
        <w:ind w:firstLine="480" w:firstLineChars="200"/>
        <w:jc w:val="left"/>
        <w:rPr>
          <w:rFonts w:ascii="宋体" w:hAnsi="宋体"/>
          <w:bCs/>
          <w:sz w:val="24"/>
          <w:szCs w:val="24"/>
        </w:rPr>
      </w:pPr>
      <w:r>
        <w:rPr>
          <w:rFonts w:hint="eastAsia" w:ascii="宋体" w:hAnsi="宋体"/>
          <w:bCs/>
          <w:sz w:val="24"/>
          <w:szCs w:val="24"/>
        </w:rPr>
        <w:t>1.采购人信息</w:t>
      </w:r>
    </w:p>
    <w:p w14:paraId="7025C848">
      <w:pPr>
        <w:keepNext w:val="0"/>
        <w:keepLines w:val="0"/>
        <w:pageBreakBefore w:val="0"/>
        <w:kinsoku/>
        <w:overflowPunct/>
        <w:bidi w:val="0"/>
        <w:snapToGrid w:val="0"/>
        <w:spacing w:line="360" w:lineRule="auto"/>
        <w:ind w:firstLine="480" w:firstLineChars="200"/>
        <w:jc w:val="left"/>
        <w:rPr>
          <w:rFonts w:ascii="宋体" w:hAnsi="宋体"/>
          <w:bCs/>
          <w:sz w:val="24"/>
          <w:szCs w:val="24"/>
        </w:rPr>
      </w:pPr>
      <w:r>
        <w:rPr>
          <w:rFonts w:hint="eastAsia" w:ascii="宋体" w:hAnsi="宋体"/>
          <w:bCs/>
          <w:sz w:val="24"/>
          <w:szCs w:val="24"/>
        </w:rPr>
        <w:t>名称：柳州市中医医院(柳州市壮医医院）</w:t>
      </w:r>
    </w:p>
    <w:p w14:paraId="6865209E">
      <w:pPr>
        <w:keepNext w:val="0"/>
        <w:keepLines w:val="0"/>
        <w:pageBreakBefore w:val="0"/>
        <w:kinsoku/>
        <w:overflowPunct/>
        <w:bidi w:val="0"/>
        <w:snapToGrid w:val="0"/>
        <w:spacing w:line="360" w:lineRule="auto"/>
        <w:ind w:firstLine="480" w:firstLineChars="200"/>
        <w:jc w:val="left"/>
        <w:rPr>
          <w:rFonts w:ascii="宋体" w:hAnsi="宋体"/>
          <w:bCs/>
          <w:sz w:val="24"/>
          <w:szCs w:val="24"/>
        </w:rPr>
      </w:pPr>
      <w:r>
        <w:rPr>
          <w:rFonts w:hint="eastAsia" w:ascii="宋体" w:hAnsi="宋体"/>
          <w:bCs/>
          <w:sz w:val="24"/>
          <w:szCs w:val="24"/>
        </w:rPr>
        <w:t>地址：广西柳州市城中区东环大道延长线东侧红葫路6号</w:t>
      </w:r>
    </w:p>
    <w:p w14:paraId="66E62EC3">
      <w:pPr>
        <w:keepNext w:val="0"/>
        <w:keepLines w:val="0"/>
        <w:pageBreakBefore w:val="0"/>
        <w:kinsoku/>
        <w:overflowPunct/>
        <w:bidi w:val="0"/>
        <w:snapToGrid w:val="0"/>
        <w:spacing w:line="360" w:lineRule="auto"/>
        <w:ind w:firstLine="480" w:firstLineChars="200"/>
        <w:jc w:val="left"/>
        <w:rPr>
          <w:rFonts w:ascii="宋体" w:hAnsi="宋体"/>
          <w:bCs/>
          <w:sz w:val="24"/>
          <w:szCs w:val="24"/>
        </w:rPr>
      </w:pPr>
      <w:r>
        <w:rPr>
          <w:rFonts w:hint="eastAsia" w:ascii="宋体" w:hAnsi="宋体"/>
          <w:bCs/>
          <w:sz w:val="24"/>
          <w:szCs w:val="24"/>
        </w:rPr>
        <w:t>联系方式：0772-3357423</w:t>
      </w:r>
    </w:p>
    <w:p w14:paraId="41DAAF5E">
      <w:pPr>
        <w:keepNext w:val="0"/>
        <w:keepLines w:val="0"/>
        <w:pageBreakBefore w:val="0"/>
        <w:kinsoku/>
        <w:overflowPunct/>
        <w:bidi w:val="0"/>
        <w:snapToGrid w:val="0"/>
        <w:spacing w:line="360" w:lineRule="auto"/>
        <w:ind w:firstLine="480" w:firstLineChars="200"/>
        <w:jc w:val="left"/>
        <w:rPr>
          <w:rFonts w:ascii="宋体" w:hAnsi="宋体"/>
          <w:bCs/>
          <w:sz w:val="24"/>
          <w:szCs w:val="24"/>
        </w:rPr>
      </w:pPr>
      <w:r>
        <w:rPr>
          <w:rFonts w:hint="eastAsia" w:ascii="宋体" w:hAnsi="宋体"/>
          <w:bCs/>
          <w:sz w:val="24"/>
          <w:szCs w:val="24"/>
        </w:rPr>
        <w:t>2.采购代理机构信息</w:t>
      </w:r>
    </w:p>
    <w:p w14:paraId="17729A8D">
      <w:pPr>
        <w:keepNext w:val="0"/>
        <w:keepLines w:val="0"/>
        <w:pageBreakBefore w:val="0"/>
        <w:kinsoku/>
        <w:overflowPunct/>
        <w:bidi w:val="0"/>
        <w:snapToGrid w:val="0"/>
        <w:spacing w:line="360" w:lineRule="auto"/>
        <w:ind w:firstLine="480" w:firstLineChars="200"/>
        <w:jc w:val="left"/>
        <w:rPr>
          <w:rFonts w:ascii="宋体" w:hAnsi="宋体"/>
          <w:bCs/>
          <w:sz w:val="24"/>
          <w:szCs w:val="24"/>
        </w:rPr>
      </w:pPr>
      <w:r>
        <w:rPr>
          <w:rFonts w:hint="eastAsia" w:ascii="宋体" w:hAnsi="宋体"/>
          <w:bCs/>
          <w:sz w:val="24"/>
          <w:szCs w:val="24"/>
        </w:rPr>
        <w:t>名称：广西大德项目管理有限公司</w:t>
      </w:r>
    </w:p>
    <w:p w14:paraId="34BD1035">
      <w:pPr>
        <w:keepNext w:val="0"/>
        <w:keepLines w:val="0"/>
        <w:pageBreakBefore w:val="0"/>
        <w:kinsoku/>
        <w:overflowPunct/>
        <w:bidi w:val="0"/>
        <w:snapToGrid w:val="0"/>
        <w:spacing w:line="360" w:lineRule="auto"/>
        <w:ind w:firstLine="480" w:firstLineChars="200"/>
        <w:jc w:val="left"/>
        <w:rPr>
          <w:rFonts w:ascii="宋体" w:hAnsi="宋体"/>
          <w:bCs/>
          <w:sz w:val="24"/>
          <w:szCs w:val="24"/>
        </w:rPr>
      </w:pPr>
      <w:r>
        <w:rPr>
          <w:rFonts w:hint="eastAsia" w:ascii="宋体" w:hAnsi="宋体"/>
          <w:bCs/>
          <w:sz w:val="24"/>
          <w:szCs w:val="24"/>
        </w:rPr>
        <w:t>地址：柳州市潭中东路17号华信国际B座910</w:t>
      </w:r>
    </w:p>
    <w:p w14:paraId="6C48A115">
      <w:pPr>
        <w:keepNext w:val="0"/>
        <w:keepLines w:val="0"/>
        <w:pageBreakBefore w:val="0"/>
        <w:kinsoku/>
        <w:overflowPunct/>
        <w:bidi w:val="0"/>
        <w:snapToGrid w:val="0"/>
        <w:spacing w:line="360" w:lineRule="auto"/>
        <w:ind w:firstLine="480" w:firstLineChars="200"/>
        <w:jc w:val="left"/>
        <w:rPr>
          <w:rFonts w:ascii="宋体" w:hAnsi="宋体"/>
          <w:bCs/>
          <w:sz w:val="24"/>
          <w:szCs w:val="24"/>
        </w:rPr>
      </w:pPr>
      <w:r>
        <w:rPr>
          <w:rFonts w:hint="eastAsia" w:ascii="宋体" w:hAnsi="宋体"/>
          <w:bCs/>
          <w:sz w:val="24"/>
          <w:szCs w:val="24"/>
        </w:rPr>
        <w:t>联系方式：0772-2120191</w:t>
      </w:r>
    </w:p>
    <w:p w14:paraId="59B6D2C7">
      <w:pPr>
        <w:keepNext w:val="0"/>
        <w:keepLines w:val="0"/>
        <w:pageBreakBefore w:val="0"/>
        <w:kinsoku/>
        <w:overflowPunct/>
        <w:bidi w:val="0"/>
        <w:snapToGrid w:val="0"/>
        <w:spacing w:line="360" w:lineRule="auto"/>
        <w:ind w:firstLine="480" w:firstLineChars="200"/>
        <w:jc w:val="left"/>
        <w:rPr>
          <w:rFonts w:ascii="宋体" w:hAnsi="宋体"/>
          <w:bCs/>
          <w:sz w:val="24"/>
          <w:szCs w:val="24"/>
        </w:rPr>
      </w:pPr>
      <w:r>
        <w:rPr>
          <w:rFonts w:hint="eastAsia" w:ascii="宋体" w:hAnsi="宋体"/>
          <w:bCs/>
          <w:sz w:val="24"/>
          <w:szCs w:val="24"/>
        </w:rPr>
        <w:t>3.项目联系方式</w:t>
      </w:r>
    </w:p>
    <w:p w14:paraId="42A2E27B">
      <w:pPr>
        <w:keepNext w:val="0"/>
        <w:keepLines w:val="0"/>
        <w:pageBreakBefore w:val="0"/>
        <w:kinsoku/>
        <w:overflowPunct/>
        <w:bidi w:val="0"/>
        <w:snapToGrid w:val="0"/>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rPr>
        <w:t>项目联系人：梁斌雄、曾珺</w:t>
      </w:r>
    </w:p>
    <w:p w14:paraId="351E815B">
      <w:pPr>
        <w:keepNext w:val="0"/>
        <w:keepLines w:val="0"/>
        <w:pageBreakBefore w:val="0"/>
        <w:kinsoku/>
        <w:overflowPunct/>
        <w:bidi w:val="0"/>
        <w:snapToGrid w:val="0"/>
        <w:spacing w:line="360" w:lineRule="auto"/>
        <w:ind w:firstLine="480" w:firstLineChars="200"/>
        <w:jc w:val="left"/>
        <w:rPr>
          <w:rFonts w:ascii="宋体" w:hAnsi="宋体"/>
          <w:bCs/>
          <w:sz w:val="24"/>
          <w:szCs w:val="24"/>
        </w:rPr>
      </w:pPr>
      <w:r>
        <w:rPr>
          <w:rFonts w:hint="eastAsia" w:ascii="宋体" w:hAnsi="宋体"/>
          <w:bCs/>
          <w:sz w:val="24"/>
          <w:szCs w:val="24"/>
        </w:rPr>
        <w:t>电话：</w:t>
      </w:r>
      <w:r>
        <w:rPr>
          <w:rFonts w:ascii="宋体" w:hAnsi="宋体"/>
          <w:bCs/>
          <w:sz w:val="24"/>
          <w:szCs w:val="24"/>
        </w:rPr>
        <w:t>0772-2120191</w:t>
      </w:r>
    </w:p>
    <w:p w14:paraId="1CBA08A1">
      <w:pPr>
        <w:keepNext w:val="0"/>
        <w:keepLines w:val="0"/>
        <w:pageBreakBefore w:val="0"/>
        <w:kinsoku/>
        <w:overflowPunct/>
        <w:bidi w:val="0"/>
        <w:snapToGrid w:val="0"/>
        <w:spacing w:line="360" w:lineRule="auto"/>
        <w:jc w:val="left"/>
        <w:rPr>
          <w:rFonts w:ascii="宋体" w:hAnsi="宋体"/>
          <w:b/>
          <w:sz w:val="24"/>
          <w:szCs w:val="24"/>
        </w:rPr>
      </w:pPr>
      <w:r>
        <w:rPr>
          <w:rFonts w:hint="eastAsia" w:ascii="宋体" w:hAnsi="宋体"/>
          <w:b/>
          <w:sz w:val="24"/>
          <w:szCs w:val="24"/>
        </w:rPr>
        <w:t>十、附件</w:t>
      </w:r>
    </w:p>
    <w:p w14:paraId="5416DB3B">
      <w:pPr>
        <w:keepNext w:val="0"/>
        <w:keepLines w:val="0"/>
        <w:pageBreakBefore w:val="0"/>
        <w:kinsoku/>
        <w:overflowPunct/>
        <w:bidi w:val="0"/>
        <w:snapToGrid w:val="0"/>
        <w:spacing w:line="360" w:lineRule="auto"/>
        <w:ind w:firstLine="480" w:firstLineChars="200"/>
        <w:jc w:val="left"/>
        <w:rPr>
          <w:rFonts w:ascii="宋体" w:hAnsi="宋体"/>
          <w:sz w:val="24"/>
          <w:szCs w:val="24"/>
        </w:rPr>
      </w:pPr>
      <w:r>
        <w:rPr>
          <w:rFonts w:hint="eastAsia" w:ascii="宋体" w:hAnsi="宋体"/>
          <w:sz w:val="24"/>
          <w:szCs w:val="24"/>
        </w:rPr>
        <w:t>1.采购文件</w:t>
      </w:r>
    </w:p>
    <w:p w14:paraId="3A843FB7">
      <w:pPr>
        <w:keepNext w:val="0"/>
        <w:keepLines w:val="0"/>
        <w:pageBreakBefore w:val="0"/>
        <w:kinsoku/>
        <w:overflowPunct/>
        <w:bidi w:val="0"/>
        <w:snapToGrid w:val="0"/>
        <w:spacing w:line="360" w:lineRule="auto"/>
        <w:ind w:firstLine="480" w:firstLineChars="200"/>
        <w:jc w:val="left"/>
        <w:rPr>
          <w:rFonts w:hint="default" w:ascii="宋体" w:eastAsia="宋体"/>
          <w:sz w:val="24"/>
          <w:szCs w:val="24"/>
          <w:lang w:val="en-US" w:eastAsia="zh-CN"/>
        </w:rPr>
      </w:pPr>
      <w:r>
        <w:rPr>
          <w:rFonts w:hint="eastAsia" w:ascii="宋体"/>
          <w:sz w:val="24"/>
          <w:szCs w:val="24"/>
          <w:lang w:val="en-US" w:eastAsia="zh-CN"/>
        </w:rPr>
        <w:t>2.《中小企业声明函》</w:t>
      </w:r>
    </w:p>
    <w:p w14:paraId="6446FA63">
      <w:pPr>
        <w:keepNext w:val="0"/>
        <w:keepLines w:val="0"/>
        <w:pageBreakBefore w:val="0"/>
        <w:kinsoku/>
        <w:overflowPunct/>
        <w:bidi w:val="0"/>
        <w:spacing w:line="360" w:lineRule="auto"/>
        <w:jc w:val="right"/>
        <w:rPr>
          <w:rFonts w:ascii="宋体" w:hAnsi="宋体"/>
          <w:sz w:val="24"/>
          <w:szCs w:val="24"/>
        </w:rPr>
      </w:pPr>
      <w:r>
        <w:rPr>
          <w:rFonts w:hint="eastAsia" w:ascii="宋体" w:hAnsi="宋体"/>
          <w:sz w:val="24"/>
          <w:szCs w:val="24"/>
        </w:rPr>
        <w:t>广西大德项目管理有限公司</w:t>
      </w:r>
    </w:p>
    <w:bookmarkEnd w:id="2"/>
    <w:p w14:paraId="580E0158">
      <w:pPr>
        <w:keepNext w:val="0"/>
        <w:keepLines w:val="0"/>
        <w:pageBreakBefore w:val="0"/>
        <w:kinsoku/>
        <w:overflowPunct/>
        <w:bidi w:val="0"/>
        <w:spacing w:line="360" w:lineRule="auto"/>
        <w:jc w:val="righ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07</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w:t>
      </w:r>
    </w:p>
    <w:sectPr>
      <w:footerReference r:id="rId3" w:type="default"/>
      <w:pgSz w:w="11906" w:h="16838"/>
      <w:pgMar w:top="1440" w:right="102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sdtPr>
    <w:sdtContent>
      <w:p w14:paraId="2F2BA860">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14:paraId="156C59E4">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E1NWZjMmViOGVlOGVlMTQzMGY0YjIxNDczYmRjZTIifQ=="/>
  </w:docVars>
  <w:rsids>
    <w:rsidRoot w:val="00342BB7"/>
    <w:rsid w:val="000016DD"/>
    <w:rsid w:val="00004378"/>
    <w:rsid w:val="00006124"/>
    <w:rsid w:val="00006D94"/>
    <w:rsid w:val="0001471A"/>
    <w:rsid w:val="0001591D"/>
    <w:rsid w:val="00030A1A"/>
    <w:rsid w:val="00032243"/>
    <w:rsid w:val="00037585"/>
    <w:rsid w:val="00045835"/>
    <w:rsid w:val="000474E0"/>
    <w:rsid w:val="0005028E"/>
    <w:rsid w:val="00066526"/>
    <w:rsid w:val="00083096"/>
    <w:rsid w:val="000848B2"/>
    <w:rsid w:val="0009056E"/>
    <w:rsid w:val="00091CDA"/>
    <w:rsid w:val="000A112E"/>
    <w:rsid w:val="000A15BB"/>
    <w:rsid w:val="000B7D55"/>
    <w:rsid w:val="000C178D"/>
    <w:rsid w:val="000C2C6B"/>
    <w:rsid w:val="000C6A3D"/>
    <w:rsid w:val="000D15CA"/>
    <w:rsid w:val="000E58A9"/>
    <w:rsid w:val="000F1684"/>
    <w:rsid w:val="001016B7"/>
    <w:rsid w:val="0010189D"/>
    <w:rsid w:val="001068AF"/>
    <w:rsid w:val="00117A85"/>
    <w:rsid w:val="00117FD0"/>
    <w:rsid w:val="001242F1"/>
    <w:rsid w:val="00126CEA"/>
    <w:rsid w:val="0012746C"/>
    <w:rsid w:val="0014121E"/>
    <w:rsid w:val="00142300"/>
    <w:rsid w:val="00143331"/>
    <w:rsid w:val="001520D4"/>
    <w:rsid w:val="00167011"/>
    <w:rsid w:val="001767CA"/>
    <w:rsid w:val="001778B4"/>
    <w:rsid w:val="001850EE"/>
    <w:rsid w:val="00186CA7"/>
    <w:rsid w:val="00193AB7"/>
    <w:rsid w:val="00194795"/>
    <w:rsid w:val="001B09A6"/>
    <w:rsid w:val="001B1263"/>
    <w:rsid w:val="001D0EE5"/>
    <w:rsid w:val="001D2024"/>
    <w:rsid w:val="001E037A"/>
    <w:rsid w:val="001E701C"/>
    <w:rsid w:val="001E7484"/>
    <w:rsid w:val="001F35D1"/>
    <w:rsid w:val="002108A7"/>
    <w:rsid w:val="00211D7C"/>
    <w:rsid w:val="00212167"/>
    <w:rsid w:val="00213D03"/>
    <w:rsid w:val="00215A8A"/>
    <w:rsid w:val="0022210B"/>
    <w:rsid w:val="00235330"/>
    <w:rsid w:val="00240CAA"/>
    <w:rsid w:val="00242338"/>
    <w:rsid w:val="002438A6"/>
    <w:rsid w:val="00244102"/>
    <w:rsid w:val="00245C1F"/>
    <w:rsid w:val="00253F22"/>
    <w:rsid w:val="00254E62"/>
    <w:rsid w:val="00256E46"/>
    <w:rsid w:val="00257776"/>
    <w:rsid w:val="0026024C"/>
    <w:rsid w:val="00261B9F"/>
    <w:rsid w:val="00261DDB"/>
    <w:rsid w:val="00263703"/>
    <w:rsid w:val="002666FA"/>
    <w:rsid w:val="0027451B"/>
    <w:rsid w:val="00275821"/>
    <w:rsid w:val="00280D95"/>
    <w:rsid w:val="002819A3"/>
    <w:rsid w:val="0029537B"/>
    <w:rsid w:val="002A49B1"/>
    <w:rsid w:val="002B3119"/>
    <w:rsid w:val="002B31DE"/>
    <w:rsid w:val="002B5088"/>
    <w:rsid w:val="002C4DD1"/>
    <w:rsid w:val="002D28E7"/>
    <w:rsid w:val="002E1F42"/>
    <w:rsid w:val="002E464F"/>
    <w:rsid w:val="002F1A15"/>
    <w:rsid w:val="002F6B81"/>
    <w:rsid w:val="00303A1F"/>
    <w:rsid w:val="00304B59"/>
    <w:rsid w:val="00315BEB"/>
    <w:rsid w:val="00315EFA"/>
    <w:rsid w:val="00342BB7"/>
    <w:rsid w:val="00344E3E"/>
    <w:rsid w:val="00366B1E"/>
    <w:rsid w:val="00377339"/>
    <w:rsid w:val="00384A9A"/>
    <w:rsid w:val="00384DF1"/>
    <w:rsid w:val="00384F12"/>
    <w:rsid w:val="00387949"/>
    <w:rsid w:val="003A019A"/>
    <w:rsid w:val="003B34CA"/>
    <w:rsid w:val="003C348D"/>
    <w:rsid w:val="003D1B4D"/>
    <w:rsid w:val="003D428A"/>
    <w:rsid w:val="003D43EF"/>
    <w:rsid w:val="003D781F"/>
    <w:rsid w:val="003D7D32"/>
    <w:rsid w:val="003E57AA"/>
    <w:rsid w:val="003E78DA"/>
    <w:rsid w:val="003E7D44"/>
    <w:rsid w:val="004118E9"/>
    <w:rsid w:val="0041464B"/>
    <w:rsid w:val="00414E53"/>
    <w:rsid w:val="00420A15"/>
    <w:rsid w:val="0042124B"/>
    <w:rsid w:val="0042586F"/>
    <w:rsid w:val="004279D6"/>
    <w:rsid w:val="0043198A"/>
    <w:rsid w:val="00442C5C"/>
    <w:rsid w:val="00453BB5"/>
    <w:rsid w:val="00467E09"/>
    <w:rsid w:val="00474971"/>
    <w:rsid w:val="0048508B"/>
    <w:rsid w:val="0048641A"/>
    <w:rsid w:val="00486B1D"/>
    <w:rsid w:val="00491110"/>
    <w:rsid w:val="004A7F57"/>
    <w:rsid w:val="004B54E9"/>
    <w:rsid w:val="004C1F77"/>
    <w:rsid w:val="004C2A76"/>
    <w:rsid w:val="004C33AE"/>
    <w:rsid w:val="004C5029"/>
    <w:rsid w:val="004D0B74"/>
    <w:rsid w:val="004D3016"/>
    <w:rsid w:val="004D37A1"/>
    <w:rsid w:val="004D4CE2"/>
    <w:rsid w:val="004D6900"/>
    <w:rsid w:val="004F397A"/>
    <w:rsid w:val="00502643"/>
    <w:rsid w:val="0051044A"/>
    <w:rsid w:val="005133EA"/>
    <w:rsid w:val="00517207"/>
    <w:rsid w:val="0053004D"/>
    <w:rsid w:val="005331FD"/>
    <w:rsid w:val="00541047"/>
    <w:rsid w:val="00541D7A"/>
    <w:rsid w:val="00574EB7"/>
    <w:rsid w:val="0058070E"/>
    <w:rsid w:val="00581A1E"/>
    <w:rsid w:val="00582250"/>
    <w:rsid w:val="0058421D"/>
    <w:rsid w:val="00587E56"/>
    <w:rsid w:val="005A0547"/>
    <w:rsid w:val="005A7EC4"/>
    <w:rsid w:val="005C16E9"/>
    <w:rsid w:val="005C790D"/>
    <w:rsid w:val="005D0674"/>
    <w:rsid w:val="005D1622"/>
    <w:rsid w:val="005D5F0B"/>
    <w:rsid w:val="005E0DC6"/>
    <w:rsid w:val="005E120B"/>
    <w:rsid w:val="005F0AFC"/>
    <w:rsid w:val="005F4C50"/>
    <w:rsid w:val="00614851"/>
    <w:rsid w:val="00615995"/>
    <w:rsid w:val="006210A5"/>
    <w:rsid w:val="00621DA3"/>
    <w:rsid w:val="00623472"/>
    <w:rsid w:val="00627307"/>
    <w:rsid w:val="0062751B"/>
    <w:rsid w:val="006325E2"/>
    <w:rsid w:val="006329C6"/>
    <w:rsid w:val="0063454C"/>
    <w:rsid w:val="0063524A"/>
    <w:rsid w:val="0063596F"/>
    <w:rsid w:val="00637698"/>
    <w:rsid w:val="00645D91"/>
    <w:rsid w:val="0064615E"/>
    <w:rsid w:val="006477C6"/>
    <w:rsid w:val="006526C3"/>
    <w:rsid w:val="0065677B"/>
    <w:rsid w:val="00667420"/>
    <w:rsid w:val="00674AFC"/>
    <w:rsid w:val="00680041"/>
    <w:rsid w:val="0068706B"/>
    <w:rsid w:val="00691EEE"/>
    <w:rsid w:val="00696589"/>
    <w:rsid w:val="006A1DEA"/>
    <w:rsid w:val="006A3C21"/>
    <w:rsid w:val="006A45B5"/>
    <w:rsid w:val="006A723C"/>
    <w:rsid w:val="006B6A4A"/>
    <w:rsid w:val="006C0619"/>
    <w:rsid w:val="006C459F"/>
    <w:rsid w:val="006D5741"/>
    <w:rsid w:val="006D7C92"/>
    <w:rsid w:val="006E04B5"/>
    <w:rsid w:val="006E2558"/>
    <w:rsid w:val="006F1088"/>
    <w:rsid w:val="00700DE7"/>
    <w:rsid w:val="00712AB2"/>
    <w:rsid w:val="00712BFA"/>
    <w:rsid w:val="00715D03"/>
    <w:rsid w:val="0071795F"/>
    <w:rsid w:val="00720989"/>
    <w:rsid w:val="00722261"/>
    <w:rsid w:val="00722AFB"/>
    <w:rsid w:val="00731D39"/>
    <w:rsid w:val="0074591F"/>
    <w:rsid w:val="00747B9A"/>
    <w:rsid w:val="0075134F"/>
    <w:rsid w:val="007523CD"/>
    <w:rsid w:val="00755B10"/>
    <w:rsid w:val="00764B0E"/>
    <w:rsid w:val="00771EA8"/>
    <w:rsid w:val="007816A1"/>
    <w:rsid w:val="00786353"/>
    <w:rsid w:val="007867DC"/>
    <w:rsid w:val="0079021D"/>
    <w:rsid w:val="007A7A6D"/>
    <w:rsid w:val="007C0627"/>
    <w:rsid w:val="007D3182"/>
    <w:rsid w:val="007D7198"/>
    <w:rsid w:val="007F7111"/>
    <w:rsid w:val="00807803"/>
    <w:rsid w:val="008268D1"/>
    <w:rsid w:val="00832F8E"/>
    <w:rsid w:val="0083667F"/>
    <w:rsid w:val="008369A1"/>
    <w:rsid w:val="00844703"/>
    <w:rsid w:val="00851FDE"/>
    <w:rsid w:val="0085686A"/>
    <w:rsid w:val="00881A3F"/>
    <w:rsid w:val="00882473"/>
    <w:rsid w:val="00883503"/>
    <w:rsid w:val="00884F31"/>
    <w:rsid w:val="00890647"/>
    <w:rsid w:val="00892CBB"/>
    <w:rsid w:val="0089479D"/>
    <w:rsid w:val="00894B86"/>
    <w:rsid w:val="008A0AF3"/>
    <w:rsid w:val="008A1BA2"/>
    <w:rsid w:val="008A56D3"/>
    <w:rsid w:val="008C0985"/>
    <w:rsid w:val="008C2DE5"/>
    <w:rsid w:val="008C796A"/>
    <w:rsid w:val="008D5952"/>
    <w:rsid w:val="008D5E30"/>
    <w:rsid w:val="008E29E9"/>
    <w:rsid w:val="00904B12"/>
    <w:rsid w:val="00910C27"/>
    <w:rsid w:val="00911898"/>
    <w:rsid w:val="00914605"/>
    <w:rsid w:val="00915B31"/>
    <w:rsid w:val="00915C90"/>
    <w:rsid w:val="00916CBE"/>
    <w:rsid w:val="00941121"/>
    <w:rsid w:val="009441AF"/>
    <w:rsid w:val="009466E6"/>
    <w:rsid w:val="0094682A"/>
    <w:rsid w:val="009574D9"/>
    <w:rsid w:val="00961076"/>
    <w:rsid w:val="00974363"/>
    <w:rsid w:val="00975921"/>
    <w:rsid w:val="00976666"/>
    <w:rsid w:val="00980784"/>
    <w:rsid w:val="00980CFD"/>
    <w:rsid w:val="00994A33"/>
    <w:rsid w:val="009B1EAC"/>
    <w:rsid w:val="009B1F37"/>
    <w:rsid w:val="009B2F3A"/>
    <w:rsid w:val="009C72A3"/>
    <w:rsid w:val="009D1D24"/>
    <w:rsid w:val="009D2488"/>
    <w:rsid w:val="009E16C2"/>
    <w:rsid w:val="009E452A"/>
    <w:rsid w:val="009F5128"/>
    <w:rsid w:val="009F6D02"/>
    <w:rsid w:val="00A0238D"/>
    <w:rsid w:val="00A0691A"/>
    <w:rsid w:val="00A13AE6"/>
    <w:rsid w:val="00A162F9"/>
    <w:rsid w:val="00A2056D"/>
    <w:rsid w:val="00A2442C"/>
    <w:rsid w:val="00A26048"/>
    <w:rsid w:val="00A26408"/>
    <w:rsid w:val="00A327AD"/>
    <w:rsid w:val="00A333EE"/>
    <w:rsid w:val="00A41833"/>
    <w:rsid w:val="00A466E1"/>
    <w:rsid w:val="00A50441"/>
    <w:rsid w:val="00A56992"/>
    <w:rsid w:val="00A628FC"/>
    <w:rsid w:val="00A6723E"/>
    <w:rsid w:val="00A72C16"/>
    <w:rsid w:val="00A73FDC"/>
    <w:rsid w:val="00A91830"/>
    <w:rsid w:val="00A918D1"/>
    <w:rsid w:val="00AA07D8"/>
    <w:rsid w:val="00AA231B"/>
    <w:rsid w:val="00AA6C20"/>
    <w:rsid w:val="00AA6FEA"/>
    <w:rsid w:val="00AB4846"/>
    <w:rsid w:val="00AB6741"/>
    <w:rsid w:val="00AD18E0"/>
    <w:rsid w:val="00AD5E23"/>
    <w:rsid w:val="00AE6CAE"/>
    <w:rsid w:val="00AF2C3C"/>
    <w:rsid w:val="00AF798D"/>
    <w:rsid w:val="00B038F0"/>
    <w:rsid w:val="00B063AD"/>
    <w:rsid w:val="00B20DB3"/>
    <w:rsid w:val="00B22A82"/>
    <w:rsid w:val="00B24156"/>
    <w:rsid w:val="00B30499"/>
    <w:rsid w:val="00B329CC"/>
    <w:rsid w:val="00B5362A"/>
    <w:rsid w:val="00B54D83"/>
    <w:rsid w:val="00B57D61"/>
    <w:rsid w:val="00B61A67"/>
    <w:rsid w:val="00B754DC"/>
    <w:rsid w:val="00B80AB1"/>
    <w:rsid w:val="00B91EEC"/>
    <w:rsid w:val="00B94BD3"/>
    <w:rsid w:val="00BA2B90"/>
    <w:rsid w:val="00BC2894"/>
    <w:rsid w:val="00BD4156"/>
    <w:rsid w:val="00BE0EC0"/>
    <w:rsid w:val="00BE6199"/>
    <w:rsid w:val="00BF2DEF"/>
    <w:rsid w:val="00BF7399"/>
    <w:rsid w:val="00C03CFE"/>
    <w:rsid w:val="00C13E7E"/>
    <w:rsid w:val="00C21C09"/>
    <w:rsid w:val="00C24797"/>
    <w:rsid w:val="00C25092"/>
    <w:rsid w:val="00C33065"/>
    <w:rsid w:val="00C33626"/>
    <w:rsid w:val="00C61A7F"/>
    <w:rsid w:val="00C6633C"/>
    <w:rsid w:val="00C66B12"/>
    <w:rsid w:val="00C75380"/>
    <w:rsid w:val="00C86513"/>
    <w:rsid w:val="00C87662"/>
    <w:rsid w:val="00C91FF4"/>
    <w:rsid w:val="00C948EC"/>
    <w:rsid w:val="00C94CFC"/>
    <w:rsid w:val="00C94F1E"/>
    <w:rsid w:val="00C95FE1"/>
    <w:rsid w:val="00CA6A91"/>
    <w:rsid w:val="00CA7BC7"/>
    <w:rsid w:val="00CC521A"/>
    <w:rsid w:val="00CC7C4E"/>
    <w:rsid w:val="00CD1CB6"/>
    <w:rsid w:val="00CD5B04"/>
    <w:rsid w:val="00CE4DC6"/>
    <w:rsid w:val="00CF1B36"/>
    <w:rsid w:val="00CF251A"/>
    <w:rsid w:val="00CF6DFB"/>
    <w:rsid w:val="00D03A38"/>
    <w:rsid w:val="00D22383"/>
    <w:rsid w:val="00D26966"/>
    <w:rsid w:val="00D36104"/>
    <w:rsid w:val="00D36F48"/>
    <w:rsid w:val="00D47FAC"/>
    <w:rsid w:val="00D60FC7"/>
    <w:rsid w:val="00D675FC"/>
    <w:rsid w:val="00D71DA0"/>
    <w:rsid w:val="00D77AC6"/>
    <w:rsid w:val="00D83029"/>
    <w:rsid w:val="00D84251"/>
    <w:rsid w:val="00DA2506"/>
    <w:rsid w:val="00DB2517"/>
    <w:rsid w:val="00DB7A38"/>
    <w:rsid w:val="00DB7FE6"/>
    <w:rsid w:val="00DC181D"/>
    <w:rsid w:val="00DC36C4"/>
    <w:rsid w:val="00DC37D7"/>
    <w:rsid w:val="00DC44F4"/>
    <w:rsid w:val="00DC49DF"/>
    <w:rsid w:val="00DD2577"/>
    <w:rsid w:val="00DE53F9"/>
    <w:rsid w:val="00DE6BC0"/>
    <w:rsid w:val="00DF2406"/>
    <w:rsid w:val="00DF2B83"/>
    <w:rsid w:val="00E01E9D"/>
    <w:rsid w:val="00E056BD"/>
    <w:rsid w:val="00E22522"/>
    <w:rsid w:val="00E275C9"/>
    <w:rsid w:val="00E32087"/>
    <w:rsid w:val="00E563C7"/>
    <w:rsid w:val="00E61BD4"/>
    <w:rsid w:val="00E7147D"/>
    <w:rsid w:val="00E7360F"/>
    <w:rsid w:val="00E833BA"/>
    <w:rsid w:val="00E86BD2"/>
    <w:rsid w:val="00EB0967"/>
    <w:rsid w:val="00EB09E5"/>
    <w:rsid w:val="00EC617A"/>
    <w:rsid w:val="00EC6F48"/>
    <w:rsid w:val="00EC7CA6"/>
    <w:rsid w:val="00EE1A56"/>
    <w:rsid w:val="00F0001D"/>
    <w:rsid w:val="00F046E5"/>
    <w:rsid w:val="00F07FBD"/>
    <w:rsid w:val="00F116A0"/>
    <w:rsid w:val="00F224C6"/>
    <w:rsid w:val="00F22A97"/>
    <w:rsid w:val="00F414DE"/>
    <w:rsid w:val="00F51C6B"/>
    <w:rsid w:val="00F549E3"/>
    <w:rsid w:val="00F5529B"/>
    <w:rsid w:val="00F57D1F"/>
    <w:rsid w:val="00F628BA"/>
    <w:rsid w:val="00F64332"/>
    <w:rsid w:val="00F70C3A"/>
    <w:rsid w:val="00F833AF"/>
    <w:rsid w:val="00F83844"/>
    <w:rsid w:val="00FA3238"/>
    <w:rsid w:val="00FA563B"/>
    <w:rsid w:val="00FA56EE"/>
    <w:rsid w:val="00FB1363"/>
    <w:rsid w:val="00FB4734"/>
    <w:rsid w:val="00FC5181"/>
    <w:rsid w:val="00FD59A5"/>
    <w:rsid w:val="00FE0DB8"/>
    <w:rsid w:val="00FE2B22"/>
    <w:rsid w:val="00FE351A"/>
    <w:rsid w:val="00FF12BA"/>
    <w:rsid w:val="00FF43CD"/>
    <w:rsid w:val="02275C6D"/>
    <w:rsid w:val="02E22B68"/>
    <w:rsid w:val="03806F86"/>
    <w:rsid w:val="045E0D7F"/>
    <w:rsid w:val="04B87362"/>
    <w:rsid w:val="090E2029"/>
    <w:rsid w:val="097A2B7A"/>
    <w:rsid w:val="0F951B25"/>
    <w:rsid w:val="0F953DB9"/>
    <w:rsid w:val="10F45415"/>
    <w:rsid w:val="113F1C77"/>
    <w:rsid w:val="12E110C3"/>
    <w:rsid w:val="15266364"/>
    <w:rsid w:val="17454E8A"/>
    <w:rsid w:val="1ADC6985"/>
    <w:rsid w:val="1E162C70"/>
    <w:rsid w:val="1F5873A7"/>
    <w:rsid w:val="22FD3CF7"/>
    <w:rsid w:val="231808E0"/>
    <w:rsid w:val="24B657AB"/>
    <w:rsid w:val="2E0824DA"/>
    <w:rsid w:val="2F3A1D71"/>
    <w:rsid w:val="2F884949"/>
    <w:rsid w:val="306C43EE"/>
    <w:rsid w:val="323D542A"/>
    <w:rsid w:val="36461A3F"/>
    <w:rsid w:val="365A3CB6"/>
    <w:rsid w:val="3BEA0F0F"/>
    <w:rsid w:val="41232FB4"/>
    <w:rsid w:val="452E51BE"/>
    <w:rsid w:val="46003632"/>
    <w:rsid w:val="462F50C2"/>
    <w:rsid w:val="484A67E7"/>
    <w:rsid w:val="4B1D28B9"/>
    <w:rsid w:val="4B29302C"/>
    <w:rsid w:val="4C0C0983"/>
    <w:rsid w:val="4C7601C0"/>
    <w:rsid w:val="4E3B3D2E"/>
    <w:rsid w:val="4F913136"/>
    <w:rsid w:val="53AD7BF5"/>
    <w:rsid w:val="59075D70"/>
    <w:rsid w:val="5A772D0B"/>
    <w:rsid w:val="5B122A34"/>
    <w:rsid w:val="5F094F7F"/>
    <w:rsid w:val="61F53810"/>
    <w:rsid w:val="62077853"/>
    <w:rsid w:val="63150852"/>
    <w:rsid w:val="6A827024"/>
    <w:rsid w:val="6B1D005F"/>
    <w:rsid w:val="6F9401C4"/>
    <w:rsid w:val="72330169"/>
    <w:rsid w:val="75157C52"/>
    <w:rsid w:val="76006148"/>
    <w:rsid w:val="7D6E54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link w:val="19"/>
    <w:autoRedefine/>
    <w:qFormat/>
    <w:uiPriority w:val="0"/>
    <w:rPr>
      <w:rFonts w:ascii="宋体" w:hAnsi="Courier New" w:eastAsiaTheme="minorEastAsia" w:cstheme="minorBidi"/>
      <w:szCs w:val="22"/>
    </w:rPr>
  </w:style>
  <w:style w:type="paragraph" w:styleId="6">
    <w:name w:val="Balloon Text"/>
    <w:basedOn w:val="1"/>
    <w:link w:val="20"/>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qFormat/>
    <w:uiPriority w:val="99"/>
    <w:rPr>
      <w:sz w:val="21"/>
      <w:szCs w:val="21"/>
    </w:rPr>
  </w:style>
  <w:style w:type="character" w:styleId="13">
    <w:name w:val="HTML Sample"/>
    <w:basedOn w:val="11"/>
    <w:semiHidden/>
    <w:unhideWhenUsed/>
    <w:uiPriority w:val="99"/>
    <w:rPr>
      <w:rFonts w:ascii="Courier New" w:hAnsi="Courier New"/>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paragraph" w:styleId="16">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标题 1 Char"/>
    <w:basedOn w:val="11"/>
    <w:link w:val="3"/>
    <w:autoRedefine/>
    <w:qFormat/>
    <w:uiPriority w:val="9"/>
    <w:rPr>
      <w:rFonts w:ascii="Times New Roman" w:hAnsi="Times New Roman" w:eastAsia="宋体" w:cs="Times New Roman"/>
      <w:b/>
      <w:bCs/>
      <w:kern w:val="44"/>
      <w:sz w:val="44"/>
      <w:szCs w:val="44"/>
    </w:rPr>
  </w:style>
  <w:style w:type="character" w:customStyle="1" w:styleId="18">
    <w:name w:val="标题 2 Char"/>
    <w:basedOn w:val="11"/>
    <w:link w:val="4"/>
    <w:autoRedefine/>
    <w:qFormat/>
    <w:uiPriority w:val="0"/>
    <w:rPr>
      <w:rFonts w:ascii="Arial" w:hAnsi="Arial" w:eastAsia="黑体" w:cs="Arial"/>
      <w:b/>
      <w:bCs/>
      <w:sz w:val="32"/>
      <w:szCs w:val="32"/>
    </w:rPr>
  </w:style>
  <w:style w:type="character" w:customStyle="1" w:styleId="19">
    <w:name w:val="纯文本 Char"/>
    <w:basedOn w:val="11"/>
    <w:link w:val="5"/>
    <w:qFormat/>
    <w:uiPriority w:val="0"/>
    <w:rPr>
      <w:rFonts w:ascii="宋体" w:hAnsi="Courier New"/>
    </w:rPr>
  </w:style>
  <w:style w:type="character" w:customStyle="1" w:styleId="20">
    <w:name w:val="批注框文本 Char"/>
    <w:basedOn w:val="11"/>
    <w:link w:val="6"/>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183A-CFFC-4880-8A16-1D4A4720AD8D}">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812</Words>
  <Characters>1013</Characters>
  <Lines>42</Lines>
  <Paragraphs>43</Paragraphs>
  <TotalTime>5</TotalTime>
  <ScaleCrop>false</ScaleCrop>
  <LinksUpToDate>false</LinksUpToDate>
  <CharactersWithSpaces>1016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跳动的音符</cp:lastModifiedBy>
  <cp:lastPrinted>2024-07-18T07:16:16Z</cp:lastPrinted>
  <dcterms:modified xsi:type="dcterms:W3CDTF">2024-07-18T07:23:35Z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9BF64CE374FE4680A550B9635A72CC39</vt:lpwstr>
  </property>
</Properties>
</file>