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r>
        <w:rPr>
          <w:rFonts w:hint="eastAsia" w:ascii="宋体" w:hAnsi="宋体" w:eastAsia="宋体"/>
          <w:color w:val="000000" w:themeColor="text1"/>
          <w:sz w:val="28"/>
          <w:szCs w:val="28"/>
          <w:lang w:val="en-US" w:eastAsia="zh-CN"/>
          <w14:textFill>
            <w14:solidFill>
              <w14:schemeClr w14:val="tx1"/>
            </w14:solidFill>
          </w14:textFill>
        </w:rPr>
        <w:t>奥林巴斯膀胱镜CYF-VA2维修</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2.项目编号：20240304-1</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1</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预算：20000元</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奥林巴斯膀胱镜CYF-VA2，故障现象：图像有光圈，弯曲橡皮破裂，插入管表皮磨损，缓存部分变形，弯曲角度不足。付导管保护套漏水。</w:t>
      </w:r>
      <w:bookmarkStart w:id="0" w:name="_GoBack"/>
      <w:bookmarkEnd w:id="0"/>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ODJlMWI5YmQ1YzJmNmM1MzUyNGRkNzk0OTlhND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46802AD"/>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2024-03-04T01:33:54Z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ADFC36A826F04288A11DE5C68EAD8777_13</vt:lpwstr>
  </property>
</Properties>
</file>