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firstLine="0"/>
        <w:jc w:val="center"/>
        <w:rPr>
          <w:rFonts w:ascii="Times New Roman" w:hAnsi="Times New Roman"/>
          <w:b/>
          <w:bCs/>
          <w:sz w:val="32"/>
          <w:szCs w:val="32"/>
        </w:rPr>
      </w:pPr>
      <w:r>
        <w:rPr>
          <w:rFonts w:hint="eastAsia" w:ascii="Times New Roman" w:hAnsi="Times New Roman"/>
          <w:b/>
          <w:bCs/>
          <w:sz w:val="32"/>
          <w:szCs w:val="32"/>
        </w:rPr>
        <w:t>云之龙咨询集团有限公司关于柳侯院区、解放社区停车场租赁招标（YZLLZ2022-G3-098-LZQT）</w:t>
      </w:r>
      <w:r>
        <w:rPr>
          <w:rFonts w:hint="eastAsia"/>
          <w:b/>
          <w:bCs/>
          <w:sz w:val="32"/>
          <w:szCs w:val="32"/>
        </w:rPr>
        <w:t>招标</w:t>
      </w:r>
      <w:r>
        <w:rPr>
          <w:b/>
          <w:bCs/>
          <w:sz w:val="32"/>
          <w:szCs w:val="32"/>
        </w:rPr>
        <w:t>公告</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3" w:hRule="atLeast"/>
          <w:jc w:val="center"/>
        </w:trPr>
        <w:tc>
          <w:tcPr>
            <w:tcW w:w="8676" w:type="dxa"/>
            <w:noWrap w:val="0"/>
            <w:vAlign w:val="top"/>
          </w:tcPr>
          <w:p>
            <w:pPr>
              <w:spacing w:line="360" w:lineRule="auto"/>
              <w:ind w:left="0" w:firstLine="0"/>
              <w:rPr>
                <w:rFonts w:hAnsi="宋体"/>
              </w:rPr>
            </w:pPr>
            <w:r>
              <w:rPr>
                <w:rFonts w:hint="eastAsia" w:hAnsi="宋体"/>
              </w:rPr>
              <w:t>项目概况</w:t>
            </w:r>
          </w:p>
          <w:p>
            <w:pPr>
              <w:tabs>
                <w:tab w:val="left" w:pos="0"/>
              </w:tabs>
              <w:spacing w:line="360" w:lineRule="auto"/>
              <w:ind w:left="0" w:firstLine="426" w:firstLineChars="203"/>
              <w:rPr>
                <w:rFonts w:hint="eastAsia" w:hAnsi="宋体"/>
                <w:u w:val="single"/>
              </w:rPr>
            </w:pPr>
            <w:r>
              <w:rPr>
                <w:rFonts w:hint="eastAsia" w:hAnsi="宋体"/>
                <w:u w:val="single"/>
              </w:rPr>
              <w:t>柳侯院区、解放社区停车场租赁招标</w:t>
            </w:r>
            <w:r>
              <w:rPr>
                <w:rFonts w:hint="eastAsia" w:hAnsi="宋体"/>
              </w:rPr>
              <w:t>的潜在投标人应在</w:t>
            </w:r>
            <w:r>
              <w:rPr>
                <w:rFonts w:hint="eastAsia" w:hAnsi="宋体"/>
                <w:u w:val="single"/>
              </w:rPr>
              <w:t>广西柳州公共资源交易服务中心（ggzy.liuzhou.gov.cn）</w:t>
            </w:r>
            <w:r>
              <w:rPr>
                <w:rFonts w:hint="eastAsia" w:hAnsi="宋体"/>
              </w:rPr>
              <w:t>获取招标文件，并于</w:t>
            </w:r>
            <w:r>
              <w:rPr>
                <w:rFonts w:hint="eastAsia" w:hAnsi="宋体"/>
                <w:u w:val="single"/>
              </w:rPr>
              <w:t>2022年10月09日9时30分</w:t>
            </w:r>
            <w:r>
              <w:rPr>
                <w:rFonts w:hint="eastAsia" w:hAnsi="宋体"/>
              </w:rPr>
              <w:t>（北京时间）前递交投标文件。</w:t>
            </w:r>
          </w:p>
        </w:tc>
      </w:tr>
    </w:tbl>
    <w:p>
      <w:pPr>
        <w:ind w:left="0" w:firstLine="422" w:firstLineChars="200"/>
        <w:rPr>
          <w:rFonts w:hint="eastAsia"/>
          <w:b/>
          <w:szCs w:val="21"/>
        </w:rPr>
      </w:pPr>
      <w:r>
        <w:rPr>
          <w:rFonts w:hint="eastAsia"/>
          <w:b/>
          <w:szCs w:val="21"/>
        </w:rPr>
        <w:t>一、招标项目名称及项目编号：</w:t>
      </w:r>
    </w:p>
    <w:p>
      <w:pPr>
        <w:ind w:left="0" w:firstLine="420" w:firstLineChars="200"/>
        <w:rPr>
          <w:rFonts w:hint="eastAsia"/>
          <w:szCs w:val="21"/>
        </w:rPr>
      </w:pPr>
      <w:r>
        <w:rPr>
          <w:rFonts w:hint="eastAsia"/>
          <w:szCs w:val="21"/>
        </w:rPr>
        <w:t>项目名称：柳侯院区、解放社区停车场租赁招标        项目编号：YZLLZ2022-G3-098-LZQT</w:t>
      </w:r>
      <w:r>
        <w:rPr>
          <w:szCs w:val="21"/>
        </w:rPr>
        <w:t xml:space="preserve">   </w:t>
      </w:r>
    </w:p>
    <w:p>
      <w:pPr>
        <w:ind w:left="0" w:firstLine="422" w:firstLineChars="200"/>
        <w:rPr>
          <w:rFonts w:hint="eastAsia"/>
          <w:b/>
          <w:szCs w:val="21"/>
        </w:rPr>
      </w:pPr>
      <w:r>
        <w:rPr>
          <w:rFonts w:hint="eastAsia"/>
          <w:b/>
          <w:szCs w:val="21"/>
        </w:rPr>
        <w:t>二、招标项目简要说明：</w:t>
      </w:r>
    </w:p>
    <w:p>
      <w:pPr>
        <w:ind w:left="0" w:firstLine="420" w:firstLineChars="200"/>
        <w:rPr>
          <w:rFonts w:hint="eastAsia"/>
        </w:rPr>
      </w:pPr>
      <w:r>
        <w:rPr>
          <w:rFonts w:hint="eastAsia"/>
        </w:rPr>
        <w:t>柳侯院区、解放社区停车场租赁服务1项, 租赁</w:t>
      </w:r>
      <w:r>
        <w:t>期限</w:t>
      </w:r>
      <w:r>
        <w:rPr>
          <w:rFonts w:hint="eastAsia"/>
        </w:rPr>
        <w:t>自合同签订之日起两年；如需进一步了解详细内容，详见招标文件。</w:t>
      </w:r>
    </w:p>
    <w:p>
      <w:pPr>
        <w:ind w:left="0" w:firstLine="422" w:firstLineChars="200"/>
        <w:rPr>
          <w:rFonts w:hint="eastAsia"/>
          <w:b/>
          <w:szCs w:val="21"/>
        </w:rPr>
      </w:pPr>
      <w:r>
        <w:rPr>
          <w:rFonts w:hint="eastAsia"/>
          <w:b/>
          <w:szCs w:val="21"/>
        </w:rPr>
        <w:t>三、投标人资格：</w:t>
      </w:r>
    </w:p>
    <w:p>
      <w:pPr>
        <w:ind w:left="0" w:firstLine="420" w:firstLineChars="200"/>
        <w:rPr>
          <w:rFonts w:hint="eastAsia"/>
          <w:bCs/>
          <w:szCs w:val="21"/>
        </w:rPr>
      </w:pPr>
      <w:r>
        <w:rPr>
          <w:rFonts w:hint="eastAsia"/>
          <w:bCs/>
          <w:szCs w:val="21"/>
        </w:rPr>
        <w:t>1.国内注册（指按国家有关规定要求核准登记的），具有法人资格的供应商；</w:t>
      </w:r>
    </w:p>
    <w:p>
      <w:pPr>
        <w:ind w:left="0" w:firstLine="420" w:firstLineChars="200"/>
        <w:rPr>
          <w:rFonts w:hint="eastAsia"/>
          <w:bCs/>
          <w:szCs w:val="21"/>
        </w:rPr>
      </w:pPr>
      <w:r>
        <w:rPr>
          <w:rFonts w:hint="eastAsia"/>
          <w:bCs/>
          <w:szCs w:val="21"/>
        </w:rPr>
        <w:t>2.投标人在开标前3年无行贿犯罪档案记录、未被列入失信被执行人或重大税收违法案件当事人名单；</w:t>
      </w:r>
    </w:p>
    <w:p>
      <w:pPr>
        <w:ind w:left="0" w:firstLine="420" w:firstLineChars="200"/>
        <w:rPr>
          <w:rFonts w:hint="eastAsia"/>
          <w:bCs/>
          <w:szCs w:val="21"/>
        </w:rPr>
      </w:pPr>
      <w:r>
        <w:rPr>
          <w:rFonts w:hint="eastAsia"/>
          <w:bCs/>
          <w:szCs w:val="21"/>
        </w:rPr>
        <w:t>3.</w:t>
      </w:r>
      <w:r>
        <w:rPr>
          <w:rFonts w:hint="eastAsia" w:hAnsi="宋体" w:cs="Arial"/>
          <w:szCs w:val="21"/>
        </w:rPr>
        <w:t>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pPr>
        <w:ind w:left="0" w:firstLine="420" w:firstLineChars="200"/>
        <w:rPr>
          <w:rFonts w:hint="eastAsia"/>
          <w:bCs/>
          <w:szCs w:val="21"/>
        </w:rPr>
      </w:pPr>
      <w:r>
        <w:rPr>
          <w:rFonts w:hint="eastAsia"/>
          <w:bCs/>
          <w:szCs w:val="21"/>
        </w:rPr>
        <w:t>4.本项目不接受联合体投标；</w:t>
      </w:r>
    </w:p>
    <w:p>
      <w:pPr>
        <w:ind w:left="0" w:firstLine="420" w:firstLineChars="200"/>
        <w:rPr>
          <w:rFonts w:hint="eastAsia"/>
          <w:bCs/>
          <w:szCs w:val="21"/>
        </w:rPr>
      </w:pPr>
      <w:r>
        <w:rPr>
          <w:rFonts w:hint="eastAsia"/>
          <w:bCs/>
          <w:szCs w:val="21"/>
        </w:rPr>
        <w:t>5.本项目不接受未购买本招标文件的供应商参与。</w:t>
      </w:r>
    </w:p>
    <w:p>
      <w:pPr>
        <w:ind w:left="0" w:firstLine="422" w:firstLineChars="200"/>
        <w:rPr>
          <w:rFonts w:hint="eastAsia"/>
          <w:b/>
          <w:szCs w:val="21"/>
        </w:rPr>
      </w:pPr>
      <w:r>
        <w:rPr>
          <w:rFonts w:hint="eastAsia"/>
          <w:b/>
          <w:szCs w:val="21"/>
        </w:rPr>
        <w:t xml:space="preserve">四、获取招标文件： </w:t>
      </w:r>
    </w:p>
    <w:p>
      <w:pPr>
        <w:spacing w:line="360" w:lineRule="auto"/>
        <w:ind w:left="0" w:firstLine="420" w:firstLineChars="200"/>
        <w:rPr>
          <w:rFonts w:hint="eastAsia"/>
          <w:szCs w:val="21"/>
        </w:rPr>
      </w:pPr>
      <w:r>
        <w:rPr>
          <w:rFonts w:hint="eastAsia"/>
          <w:szCs w:val="21"/>
        </w:rPr>
        <w:t>1.时间：自发布公告之时起至2022年09月22日17时30分止。</w:t>
      </w:r>
    </w:p>
    <w:p>
      <w:pPr>
        <w:spacing w:line="360" w:lineRule="auto"/>
        <w:ind w:left="0" w:firstLine="420" w:firstLineChars="200"/>
        <w:rPr>
          <w:rFonts w:hint="eastAsia"/>
          <w:szCs w:val="21"/>
        </w:rPr>
      </w:pPr>
      <w:r>
        <w:rPr>
          <w:rFonts w:hint="eastAsia"/>
          <w:szCs w:val="21"/>
        </w:rPr>
        <w:t>2.地点：广西柳州公共资源交易服务中心网（ggzy.liuzhou.gov.cn）</w:t>
      </w:r>
    </w:p>
    <w:p>
      <w:pPr>
        <w:spacing w:line="360" w:lineRule="auto"/>
        <w:ind w:left="0" w:firstLine="420" w:firstLineChars="200"/>
        <w:rPr>
          <w:rFonts w:hint="eastAsia"/>
          <w:szCs w:val="21"/>
        </w:rPr>
      </w:pPr>
      <w:r>
        <w:rPr>
          <w:rFonts w:hint="eastAsia"/>
          <w:szCs w:val="21"/>
        </w:rPr>
        <w:t>3.方式：潜在投标人可以登陆广西柳州公共资源交易服务中心网（ggzy.liuzhou.gov.cn）的“交易信息”——“政府采购”——“政采公告”中打开项目的招标公告正文，点击下方的“获取采购文件”按钮，下载招标文件。</w:t>
      </w:r>
    </w:p>
    <w:p>
      <w:pPr>
        <w:spacing w:line="360" w:lineRule="auto"/>
        <w:ind w:left="0" w:firstLine="420" w:firstLineChars="200"/>
        <w:rPr>
          <w:rFonts w:hint="eastAsia"/>
          <w:szCs w:val="21"/>
        </w:rPr>
      </w:pPr>
      <w:r>
        <w:rPr>
          <w:rFonts w:hint="eastAsia"/>
          <w:szCs w:val="21"/>
        </w:rPr>
        <w:t>售价：免费获取。</w:t>
      </w:r>
    </w:p>
    <w:p>
      <w:pPr>
        <w:spacing w:line="360" w:lineRule="auto"/>
        <w:ind w:left="0" w:firstLine="422" w:firstLineChars="201"/>
        <w:rPr>
          <w:rFonts w:ascii="Times New Roman" w:hAnsi="宋体" w:cs="宋体"/>
          <w:szCs w:val="24"/>
        </w:rPr>
      </w:pPr>
      <w:r>
        <w:rPr>
          <w:rFonts w:hint="eastAsia" w:ascii="Times New Roman" w:hAnsi="宋体" w:cs="宋体"/>
          <w:szCs w:val="24"/>
        </w:rPr>
        <w:t>注：</w:t>
      </w:r>
    </w:p>
    <w:p>
      <w:pPr>
        <w:spacing w:line="360" w:lineRule="auto"/>
        <w:ind w:left="0" w:firstLine="422" w:firstLineChars="201"/>
        <w:rPr>
          <w:rFonts w:ascii="Times New Roman" w:hAnsi="宋体" w:cs="宋体"/>
          <w:szCs w:val="24"/>
        </w:rPr>
      </w:pPr>
      <w:r>
        <w:rPr>
          <w:rFonts w:ascii="Times New Roman" w:hAnsi="宋体" w:cs="宋体"/>
          <w:szCs w:val="24"/>
        </w:rPr>
        <w:t>1</w:t>
      </w:r>
      <w:r>
        <w:rPr>
          <w:rFonts w:hint="eastAsia" w:ascii="Times New Roman" w:hAnsi="宋体" w:cs="宋体"/>
          <w:szCs w:val="24"/>
        </w:rPr>
        <w:t>.潜在投标人获取招标文件时应按照主体资格证明（如营业执照、事业单位法人证书、执业许可证、个体工商户营业执照、自然人身份证等）上的名称完整准确填写供应商名称。</w:t>
      </w:r>
      <w:r>
        <w:rPr>
          <w:rFonts w:hint="eastAsia" w:ascii="Times New Roman" w:hAnsi="宋体" w:cs="宋体"/>
          <w:b/>
          <w:szCs w:val="24"/>
        </w:rPr>
        <w:t>未依法获取（下载）招标文件或递交投标文件与下载时填写的单位全称不一致的，招标代理机构将拒收其投标文件。</w:t>
      </w:r>
    </w:p>
    <w:p>
      <w:pPr>
        <w:spacing w:line="360" w:lineRule="auto"/>
        <w:ind w:left="0" w:firstLine="422" w:firstLineChars="201"/>
        <w:rPr>
          <w:rFonts w:ascii="Times New Roman" w:hAnsi="宋体" w:cs="宋体"/>
          <w:szCs w:val="24"/>
        </w:rPr>
      </w:pPr>
      <w:r>
        <w:rPr>
          <w:rFonts w:ascii="Times New Roman" w:hAnsi="宋体" w:cs="宋体"/>
          <w:szCs w:val="24"/>
        </w:rPr>
        <w:t>2</w:t>
      </w:r>
      <w:r>
        <w:rPr>
          <w:rFonts w:hint="eastAsia" w:ascii="Times New Roman" w:hAnsi="宋体" w:cs="宋体"/>
          <w:szCs w:val="24"/>
        </w:rPr>
        <w:t>.已获取招标文件的供应商不等于符合本项目的供应商资格。</w:t>
      </w:r>
    </w:p>
    <w:p>
      <w:pPr>
        <w:spacing w:line="360" w:lineRule="auto"/>
        <w:ind w:left="0" w:firstLine="422" w:firstLineChars="201"/>
        <w:rPr>
          <w:rFonts w:hint="eastAsia" w:ascii="Times New Roman" w:hAnsi="宋体" w:cs="宋体"/>
          <w:szCs w:val="24"/>
        </w:rPr>
      </w:pPr>
      <w:r>
        <w:rPr>
          <w:rFonts w:ascii="Times New Roman" w:hAnsi="宋体" w:cs="宋体"/>
          <w:szCs w:val="24"/>
        </w:rPr>
        <w:t>3</w:t>
      </w:r>
      <w:r>
        <w:rPr>
          <w:rFonts w:hint="eastAsia" w:ascii="Times New Roman" w:hAnsi="宋体" w:cs="宋体"/>
          <w:szCs w:val="24"/>
        </w:rPr>
        <w:t>.网上获取招标文件程序及注意事项详见广西柳州公共资源交易服务中心（ggzy.liuzhou.gov.cn）——“办事指南”的《网上获取文件办理指南》。</w:t>
      </w:r>
    </w:p>
    <w:p>
      <w:pPr>
        <w:spacing w:line="360" w:lineRule="auto"/>
        <w:ind w:left="0" w:firstLine="422" w:firstLineChars="200"/>
        <w:rPr>
          <w:rFonts w:hint="eastAsia" w:hAnsi="宋体"/>
          <w:szCs w:val="21"/>
        </w:rPr>
      </w:pPr>
      <w:r>
        <w:rPr>
          <w:rFonts w:hint="eastAsia" w:hAnsi="宋体"/>
          <w:b/>
          <w:szCs w:val="21"/>
        </w:rPr>
        <w:t>五</w:t>
      </w:r>
      <w:r>
        <w:rPr>
          <w:rFonts w:hint="eastAsia"/>
          <w:b/>
          <w:szCs w:val="21"/>
        </w:rPr>
        <w:t>、投标文件接收信息：</w:t>
      </w:r>
    </w:p>
    <w:p>
      <w:pPr>
        <w:spacing w:line="360" w:lineRule="auto"/>
        <w:ind w:left="0" w:firstLine="420" w:firstLineChars="200"/>
        <w:rPr>
          <w:rFonts w:hint="eastAsia"/>
          <w:szCs w:val="21"/>
        </w:rPr>
      </w:pPr>
      <w:r>
        <w:rPr>
          <w:rFonts w:hint="eastAsia"/>
          <w:szCs w:val="21"/>
        </w:rPr>
        <w:t>1.投标文件开始接收时间：2022年10月09日上午9时00分</w:t>
      </w:r>
    </w:p>
    <w:p>
      <w:pPr>
        <w:spacing w:line="360" w:lineRule="auto"/>
        <w:ind w:left="0" w:firstLine="420" w:firstLineChars="200"/>
        <w:rPr>
          <w:rFonts w:hint="eastAsia"/>
          <w:szCs w:val="21"/>
        </w:rPr>
      </w:pPr>
      <w:r>
        <w:rPr>
          <w:rFonts w:hint="eastAsia"/>
          <w:szCs w:val="21"/>
        </w:rPr>
        <w:t>2.投标文件接收截止时间：2022年10月09日上午9时30分</w:t>
      </w:r>
    </w:p>
    <w:p>
      <w:pPr>
        <w:spacing w:line="360" w:lineRule="auto"/>
        <w:ind w:left="0" w:firstLine="420" w:firstLineChars="200"/>
        <w:rPr>
          <w:rFonts w:hint="eastAsia"/>
          <w:szCs w:val="21"/>
        </w:rPr>
      </w:pPr>
      <w:r>
        <w:rPr>
          <w:rFonts w:hint="eastAsia"/>
          <w:szCs w:val="21"/>
        </w:rPr>
        <w:t>3.投标文件接收地点：柳州市公共资源交易中心开标厅（广西柳州市龙湖路13号柳州市民服务中心北楼4楼），</w:t>
      </w:r>
      <w:r>
        <w:rPr>
          <w:rFonts w:hint="eastAsia" w:hAnsi="宋体"/>
        </w:rPr>
        <w:t>逾期送达或未按照招标文件要求递交、密封的投标文件，将予以拒收。</w:t>
      </w:r>
    </w:p>
    <w:p>
      <w:pPr>
        <w:spacing w:line="360" w:lineRule="auto"/>
        <w:ind w:left="0" w:firstLine="420" w:firstLineChars="200"/>
        <w:rPr>
          <w:rFonts w:hint="eastAsia"/>
          <w:b/>
          <w:szCs w:val="21"/>
        </w:rPr>
      </w:pPr>
      <w:r>
        <w:rPr>
          <w:rFonts w:hint="eastAsia"/>
          <w:szCs w:val="21"/>
        </w:rPr>
        <w:t xml:space="preserve">4.投标文件接收人：云之龙咨询集团有限公司工作人员 </w:t>
      </w:r>
    </w:p>
    <w:p>
      <w:pPr>
        <w:spacing w:line="360" w:lineRule="auto"/>
        <w:ind w:left="0" w:firstLine="422" w:firstLineChars="200"/>
        <w:rPr>
          <w:rFonts w:hint="eastAsia"/>
          <w:b/>
          <w:szCs w:val="21"/>
        </w:rPr>
      </w:pPr>
      <w:r>
        <w:rPr>
          <w:rFonts w:hint="eastAsia"/>
          <w:b/>
          <w:szCs w:val="21"/>
        </w:rPr>
        <w:t>六、开标有关信息：</w:t>
      </w:r>
    </w:p>
    <w:p>
      <w:pPr>
        <w:spacing w:line="360" w:lineRule="auto"/>
        <w:ind w:left="0" w:firstLine="420" w:firstLineChars="200"/>
        <w:rPr>
          <w:rFonts w:hint="eastAsia"/>
          <w:szCs w:val="21"/>
        </w:rPr>
      </w:pPr>
      <w:r>
        <w:rPr>
          <w:rFonts w:hint="eastAsia"/>
          <w:szCs w:val="21"/>
        </w:rPr>
        <w:t>1.开标时间：2022年10月09日上午9时30分</w:t>
      </w:r>
    </w:p>
    <w:p>
      <w:pPr>
        <w:spacing w:line="360" w:lineRule="auto"/>
        <w:ind w:left="0" w:firstLine="420" w:firstLineChars="200"/>
        <w:rPr>
          <w:rFonts w:hint="eastAsia"/>
          <w:b/>
          <w:szCs w:val="21"/>
        </w:rPr>
      </w:pPr>
      <w:r>
        <w:rPr>
          <w:rFonts w:hint="eastAsia"/>
          <w:szCs w:val="21"/>
        </w:rPr>
        <w:t>2.开标地点：柳州市公共资源交易中心开标厅（广西柳州市龙湖路13号柳州市民服务中心北楼</w:t>
      </w:r>
      <w:r>
        <w:rPr>
          <w:rFonts w:hint="eastAsia"/>
        </w:rPr>
        <w:t>4楼</w:t>
      </w:r>
      <w:r>
        <w:rPr>
          <w:rFonts w:hint="eastAsia"/>
          <w:szCs w:val="21"/>
        </w:rPr>
        <w:t>）</w:t>
      </w:r>
    </w:p>
    <w:p>
      <w:pPr>
        <w:spacing w:line="360" w:lineRule="auto"/>
        <w:ind w:left="0" w:firstLine="420" w:firstLineChars="200"/>
        <w:rPr>
          <w:rFonts w:hint="eastAsia"/>
          <w:b/>
          <w:szCs w:val="21"/>
        </w:rPr>
      </w:pPr>
      <w:r>
        <w:rPr>
          <w:rFonts w:hint="eastAsia"/>
          <w:szCs w:val="21"/>
        </w:rPr>
        <w:t>投标人的</w:t>
      </w:r>
      <w:r>
        <w:rPr>
          <w:rFonts w:hint="eastAsia" w:hAnsi="宋体" w:cs="宋体"/>
          <w:szCs w:val="21"/>
        </w:rPr>
        <w:t>法定代表人</w:t>
      </w:r>
      <w:r>
        <w:rPr>
          <w:rFonts w:hint="eastAsia"/>
          <w:szCs w:val="21"/>
        </w:rPr>
        <w:t>或委托代理人必须出示本人有效身份证件，经核对后递交文件和参加开标会，</w:t>
      </w:r>
      <w:r>
        <w:rPr>
          <w:rFonts w:hint="eastAsia"/>
          <w:b/>
          <w:bCs/>
          <w:szCs w:val="21"/>
        </w:rPr>
        <w:t>否则不予接收文件，其投标无效。</w:t>
      </w:r>
    </w:p>
    <w:p>
      <w:pPr>
        <w:spacing w:line="360" w:lineRule="auto"/>
        <w:ind w:left="0" w:firstLine="422" w:firstLineChars="200"/>
        <w:rPr>
          <w:rFonts w:hint="eastAsia"/>
          <w:b/>
          <w:szCs w:val="21"/>
        </w:rPr>
      </w:pPr>
      <w:r>
        <w:rPr>
          <w:rFonts w:hint="eastAsia"/>
          <w:b/>
          <w:szCs w:val="21"/>
        </w:rPr>
        <w:t>七、本次招标联系事项：</w:t>
      </w:r>
    </w:p>
    <w:p>
      <w:pPr>
        <w:spacing w:line="360" w:lineRule="auto"/>
        <w:ind w:left="0" w:firstLine="420" w:firstLineChars="200"/>
        <w:rPr>
          <w:rFonts w:hint="eastAsia"/>
          <w:szCs w:val="21"/>
        </w:rPr>
      </w:pPr>
      <w:r>
        <w:rPr>
          <w:rFonts w:hint="eastAsia"/>
          <w:szCs w:val="21"/>
        </w:rPr>
        <w:t xml:space="preserve">招标代理机构：云之龙咨询集团有限公司 </w:t>
      </w:r>
    </w:p>
    <w:p>
      <w:pPr>
        <w:spacing w:line="360" w:lineRule="auto"/>
        <w:ind w:left="0" w:firstLine="420" w:firstLineChars="200"/>
        <w:rPr>
          <w:rFonts w:hint="eastAsia"/>
          <w:szCs w:val="21"/>
        </w:rPr>
      </w:pPr>
      <w:r>
        <w:rPr>
          <w:rFonts w:hint="eastAsia"/>
          <w:szCs w:val="21"/>
        </w:rPr>
        <w:t xml:space="preserve">地址：柳州市滨江东路16号三区211-218室        </w:t>
      </w:r>
    </w:p>
    <w:p>
      <w:pPr>
        <w:spacing w:line="360" w:lineRule="auto"/>
        <w:ind w:left="0" w:firstLine="420" w:firstLineChars="200"/>
        <w:rPr>
          <w:rFonts w:hint="eastAsia"/>
          <w:szCs w:val="21"/>
        </w:rPr>
      </w:pPr>
      <w:r>
        <w:rPr>
          <w:rFonts w:hint="eastAsia"/>
          <w:szCs w:val="21"/>
        </w:rPr>
        <w:t>联系人：阮欣竹、韦蕗芃          电话：0772-3310669、3310109 </w:t>
      </w:r>
    </w:p>
    <w:p>
      <w:pPr>
        <w:spacing w:line="360" w:lineRule="auto"/>
        <w:ind w:left="0" w:firstLine="422" w:firstLineChars="200"/>
        <w:rPr>
          <w:rFonts w:hint="eastAsia"/>
          <w:b/>
          <w:szCs w:val="21"/>
        </w:rPr>
      </w:pPr>
      <w:r>
        <w:rPr>
          <w:rFonts w:hint="eastAsia"/>
          <w:b/>
          <w:szCs w:val="21"/>
        </w:rPr>
        <w:t>八、网上查询：</w:t>
      </w:r>
    </w:p>
    <w:p>
      <w:pPr>
        <w:spacing w:line="360" w:lineRule="auto"/>
        <w:ind w:left="0" w:firstLine="420" w:firstLineChars="200"/>
        <w:rPr>
          <w:rFonts w:hint="eastAsia" w:hAnsi="宋体"/>
          <w:szCs w:val="21"/>
        </w:rPr>
      </w:pPr>
      <w:r>
        <w:rPr>
          <w:rFonts w:hint="eastAsia"/>
          <w:szCs w:val="21"/>
        </w:rPr>
        <w:t>中国</w:t>
      </w:r>
      <w:r>
        <w:rPr>
          <w:rFonts w:hint="eastAsia" w:hAnsi="宋体"/>
          <w:szCs w:val="21"/>
        </w:rPr>
        <w:t>采购与招标网(www.chinabidding.com.cn)、</w:t>
      </w:r>
      <w:r>
        <w:rPr>
          <w:rFonts w:hint="eastAsia"/>
          <w:szCs w:val="21"/>
        </w:rPr>
        <w:t>中国招标投标公共服务平台</w:t>
      </w:r>
      <w:r>
        <w:rPr>
          <w:rFonts w:hint="eastAsia" w:hAnsi="宋体" w:cs="宋体"/>
          <w:kern w:val="0"/>
          <w:szCs w:val="21"/>
          <w:lang w:bidi="zh-CN"/>
        </w:rPr>
        <w:t>（www.cebpubservice.com）</w:t>
      </w:r>
      <w:r>
        <w:rPr>
          <w:rFonts w:hint="eastAsia"/>
          <w:szCs w:val="21"/>
        </w:rPr>
        <w:t>、</w:t>
      </w:r>
      <w:r>
        <w:rPr>
          <w:rFonts w:hint="eastAsia" w:hAnsi="宋体"/>
          <w:szCs w:val="21"/>
        </w:rPr>
        <w:t>云之龙咨询集团有限公司网(www.yzljt.cn)、广西柳州公共资源交易服务中心（ggzy.liuzhou.gov.cn）</w:t>
      </w:r>
    </w:p>
    <w:p>
      <w:pPr>
        <w:spacing w:line="360" w:lineRule="auto"/>
        <w:ind w:left="0" w:firstLine="840" w:firstLineChars="400"/>
        <w:rPr>
          <w:rFonts w:hint="eastAsia" w:hAnsi="宋体"/>
          <w:szCs w:val="21"/>
        </w:rPr>
      </w:pPr>
    </w:p>
    <w:p>
      <w:pPr>
        <w:tabs>
          <w:tab w:val="left" w:pos="455"/>
        </w:tabs>
        <w:spacing w:line="360" w:lineRule="auto"/>
        <w:jc w:val="right"/>
        <w:rPr>
          <w:rFonts w:hint="eastAsia"/>
          <w:bCs/>
          <w:spacing w:val="20"/>
          <w:szCs w:val="21"/>
        </w:rPr>
      </w:pPr>
      <w:r>
        <w:rPr>
          <w:rFonts w:hint="eastAsia"/>
          <w:bCs/>
          <w:szCs w:val="21"/>
        </w:rPr>
        <w:t>招标代理机构：云之龙咨询集团有限公司</w:t>
      </w:r>
    </w:p>
    <w:p>
      <w:pPr>
        <w:pStyle w:val="4"/>
        <w:jc w:val="center"/>
        <w:rPr>
          <w:rFonts w:hint="eastAsia" w:hAnsi="宋体"/>
          <w:sz w:val="44"/>
        </w:rPr>
      </w:pPr>
      <w:r>
        <w:rPr>
          <w:rFonts w:hint="eastAsia"/>
          <w:szCs w:val="21"/>
        </w:rPr>
        <w:t xml:space="preserve">                                              2022年9月15日</w:t>
      </w:r>
    </w:p>
    <w:p>
      <w:pPr>
        <w:jc w:val="right"/>
        <w:rPr>
          <w:rFonts w:hAnsi="宋体"/>
          <w:color w:val="000000" w:themeColor="text1"/>
          <w:sz w:val="44"/>
        </w:rPr>
      </w:pPr>
      <w:bookmarkStart w:id="0" w:name="_GoBack"/>
      <w:bookmarkEnd w:id="0"/>
    </w:p>
    <w:p>
      <w:pPr>
        <w:jc w:val="center"/>
        <w:rPr>
          <w:rFonts w:hAnsi="宋体"/>
          <w:sz w:val="44"/>
        </w:rPr>
      </w:pPr>
    </w:p>
    <w:p>
      <w:pPr>
        <w:spacing w:line="360" w:lineRule="auto"/>
        <w:ind w:left="0" w:firstLine="480" w:firstLineChars="200"/>
        <w:jc w:val="left"/>
        <w:rPr>
          <w:rFonts w:hAnsi="宋体" w:cs="宋体"/>
          <w:color w:val="000000" w:themeColor="text1"/>
          <w:kern w:val="0"/>
          <w:sz w:val="24"/>
          <w:szCs w:val="24"/>
        </w:rPr>
      </w:pPr>
    </w:p>
    <w:sectPr>
      <w:pgSz w:w="11906" w:h="16838"/>
      <w:pgMar w:top="1134" w:right="1274" w:bottom="1134" w:left="127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yYTQzMTdmOTc4ZDk5MGRmNzczOGQ4NzNkMTI4ZDQifQ=="/>
  </w:docVars>
  <w:rsids>
    <w:rsidRoot w:val="00F94300"/>
    <w:rsid w:val="00083E7F"/>
    <w:rsid w:val="000B6B18"/>
    <w:rsid w:val="000D443B"/>
    <w:rsid w:val="001C1FFA"/>
    <w:rsid w:val="001E26D1"/>
    <w:rsid w:val="00214539"/>
    <w:rsid w:val="002824B3"/>
    <w:rsid w:val="0028328D"/>
    <w:rsid w:val="002A4CEA"/>
    <w:rsid w:val="002E482A"/>
    <w:rsid w:val="00325854"/>
    <w:rsid w:val="0039713A"/>
    <w:rsid w:val="003C058F"/>
    <w:rsid w:val="004102E6"/>
    <w:rsid w:val="00434CF0"/>
    <w:rsid w:val="00457AAF"/>
    <w:rsid w:val="005203D5"/>
    <w:rsid w:val="00665B06"/>
    <w:rsid w:val="006C08EF"/>
    <w:rsid w:val="006D2D2B"/>
    <w:rsid w:val="006E7106"/>
    <w:rsid w:val="0072554E"/>
    <w:rsid w:val="00760A99"/>
    <w:rsid w:val="007762FD"/>
    <w:rsid w:val="00776D93"/>
    <w:rsid w:val="00784D1A"/>
    <w:rsid w:val="00785167"/>
    <w:rsid w:val="00797E2D"/>
    <w:rsid w:val="007A5C50"/>
    <w:rsid w:val="008528A5"/>
    <w:rsid w:val="008568C4"/>
    <w:rsid w:val="00884C89"/>
    <w:rsid w:val="008D2F7D"/>
    <w:rsid w:val="0092035E"/>
    <w:rsid w:val="0092134B"/>
    <w:rsid w:val="00930A1A"/>
    <w:rsid w:val="00953211"/>
    <w:rsid w:val="00961F06"/>
    <w:rsid w:val="009F6938"/>
    <w:rsid w:val="00A03E79"/>
    <w:rsid w:val="00A2030D"/>
    <w:rsid w:val="00A20625"/>
    <w:rsid w:val="00A84B46"/>
    <w:rsid w:val="00AD4C83"/>
    <w:rsid w:val="00AE1A6A"/>
    <w:rsid w:val="00AF27A0"/>
    <w:rsid w:val="00AF2C13"/>
    <w:rsid w:val="00B73C10"/>
    <w:rsid w:val="00B83F28"/>
    <w:rsid w:val="00B8414F"/>
    <w:rsid w:val="00B866B5"/>
    <w:rsid w:val="00B87E68"/>
    <w:rsid w:val="00BD6886"/>
    <w:rsid w:val="00C57E49"/>
    <w:rsid w:val="00CA2C8C"/>
    <w:rsid w:val="00CB36DC"/>
    <w:rsid w:val="00D51BB7"/>
    <w:rsid w:val="00DB17BE"/>
    <w:rsid w:val="00DB5D52"/>
    <w:rsid w:val="00DF2629"/>
    <w:rsid w:val="00E66778"/>
    <w:rsid w:val="00E96F85"/>
    <w:rsid w:val="00ED7CB8"/>
    <w:rsid w:val="00EF16F0"/>
    <w:rsid w:val="00EF5378"/>
    <w:rsid w:val="00F94300"/>
    <w:rsid w:val="00FF3FD3"/>
    <w:rsid w:val="1B17000E"/>
    <w:rsid w:val="1EE80B56"/>
    <w:rsid w:val="4E0560CC"/>
    <w:rsid w:val="76BF3828"/>
    <w:rsid w:val="7BC3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left="840" w:hanging="420"/>
      <w:jc w:val="both"/>
    </w:pPr>
    <w:rPr>
      <w:rFonts w:ascii="宋体" w:hAnsi="Courier New" w:eastAsia="宋体" w:cs="Times New Roman"/>
      <w:kern w:val="2"/>
      <w:sz w:val="21"/>
      <w:szCs w:val="20"/>
      <w:lang w:val="en-US" w:eastAsia="zh-CN" w:bidi="ar-SA"/>
    </w:rPr>
  </w:style>
  <w:style w:type="paragraph" w:styleId="2">
    <w:name w:val="heading 6"/>
    <w:basedOn w:val="1"/>
    <w:next w:val="1"/>
    <w:qFormat/>
    <w:uiPriority w:val="0"/>
    <w:pPr>
      <w:keepNext/>
      <w:keepLines/>
      <w:tabs>
        <w:tab w:val="left" w:pos="1152"/>
      </w:tabs>
      <w:adjustRightInd w:val="0"/>
      <w:spacing w:before="240" w:beforeLines="0" w:after="64" w:afterLines="0" w:line="320" w:lineRule="atLeast"/>
      <w:ind w:left="1152" w:hanging="1152"/>
      <w:textAlignment w:val="baseline"/>
      <w:outlineLvl w:val="5"/>
    </w:pPr>
    <w:rPr>
      <w:rFonts w:ascii="Arial" w:hAnsi="Arial" w:eastAsia="黑体"/>
      <w:b/>
      <w:kern w:val="0"/>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0"/>
    <w:pPr>
      <w:jc w:val="left"/>
    </w:pPr>
  </w:style>
  <w:style w:type="paragraph" w:styleId="4">
    <w:name w:val="Plain Text"/>
    <w:basedOn w:val="1"/>
    <w:link w:val="12"/>
    <w:unhideWhenUsed/>
    <w:qFormat/>
    <w:uiPriority w:val="0"/>
    <w:rPr>
      <w:rFonts w:cstheme="minorBidi"/>
      <w:szCs w:val="22"/>
    </w:rPr>
  </w:style>
  <w:style w:type="paragraph" w:styleId="5">
    <w:name w:val="Balloon Text"/>
    <w:basedOn w:val="1"/>
    <w:link w:val="15"/>
    <w:semiHidden/>
    <w:unhideWhenUsed/>
    <w:qFormat/>
    <w:uiPriority w:val="99"/>
    <w:pPr>
      <w:spacing w:line="240" w:lineRule="auto"/>
    </w:pPr>
    <w:rPr>
      <w:sz w:val="18"/>
      <w:szCs w:val="18"/>
    </w:rPr>
  </w:style>
  <w:style w:type="paragraph" w:styleId="6">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10">
    <w:name w:val="annotation reference"/>
    <w:semiHidden/>
    <w:unhideWhenUsed/>
    <w:qFormat/>
    <w:uiPriority w:val="0"/>
    <w:rPr>
      <w:sz w:val="21"/>
      <w:szCs w:val="21"/>
    </w:rPr>
  </w:style>
  <w:style w:type="character" w:customStyle="1" w:styleId="11">
    <w:name w:val="批注文字 Char"/>
    <w:basedOn w:val="9"/>
    <w:semiHidden/>
    <w:qFormat/>
    <w:uiPriority w:val="99"/>
    <w:rPr>
      <w:rFonts w:ascii="宋体" w:hAnsi="Courier New" w:eastAsia="宋体" w:cs="Times New Roman"/>
      <w:szCs w:val="20"/>
    </w:rPr>
  </w:style>
  <w:style w:type="character" w:customStyle="1" w:styleId="12">
    <w:name w:val="纯文本 Char"/>
    <w:link w:val="4"/>
    <w:qFormat/>
    <w:locked/>
    <w:uiPriority w:val="0"/>
    <w:rPr>
      <w:rFonts w:ascii="宋体" w:hAnsi="Courier New" w:eastAsia="宋体"/>
    </w:rPr>
  </w:style>
  <w:style w:type="character" w:customStyle="1" w:styleId="13">
    <w:name w:val="纯文本 Char1"/>
    <w:basedOn w:val="9"/>
    <w:semiHidden/>
    <w:qFormat/>
    <w:uiPriority w:val="99"/>
    <w:rPr>
      <w:rFonts w:ascii="宋体" w:hAnsi="Courier New" w:eastAsia="宋体" w:cs="Courier New"/>
      <w:szCs w:val="21"/>
    </w:rPr>
  </w:style>
  <w:style w:type="character" w:customStyle="1" w:styleId="14">
    <w:name w:val="批注文字 Char1"/>
    <w:link w:val="3"/>
    <w:semiHidden/>
    <w:qFormat/>
    <w:locked/>
    <w:uiPriority w:val="0"/>
    <w:rPr>
      <w:rFonts w:ascii="宋体" w:hAnsi="Courier New" w:eastAsia="宋体" w:cs="Times New Roman"/>
      <w:szCs w:val="20"/>
    </w:rPr>
  </w:style>
  <w:style w:type="character" w:customStyle="1" w:styleId="15">
    <w:name w:val="批注框文本 Char"/>
    <w:basedOn w:val="9"/>
    <w:link w:val="5"/>
    <w:semiHidden/>
    <w:qFormat/>
    <w:uiPriority w:val="99"/>
    <w:rPr>
      <w:rFonts w:ascii="宋体" w:hAnsi="Courier New" w:eastAsia="宋体" w:cs="Times New Roman"/>
      <w:sz w:val="18"/>
      <w:szCs w:val="18"/>
    </w:rPr>
  </w:style>
  <w:style w:type="character" w:customStyle="1" w:styleId="16">
    <w:name w:val="页眉 Char"/>
    <w:basedOn w:val="9"/>
    <w:link w:val="7"/>
    <w:qFormat/>
    <w:uiPriority w:val="99"/>
    <w:rPr>
      <w:rFonts w:ascii="宋体" w:hAnsi="Courier New" w:eastAsia="宋体" w:cs="Times New Roman"/>
      <w:sz w:val="18"/>
      <w:szCs w:val="18"/>
    </w:rPr>
  </w:style>
  <w:style w:type="character" w:customStyle="1" w:styleId="17">
    <w:name w:val="页脚 Char"/>
    <w:basedOn w:val="9"/>
    <w:link w:val="6"/>
    <w:qFormat/>
    <w:uiPriority w:val="99"/>
    <w:rPr>
      <w:rFonts w:ascii="宋体" w:hAnsi="Courier New"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F04A8-0BFC-406E-9225-2967F1DAC0F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1019</Words>
  <Characters>1201</Characters>
  <Lines>9</Lines>
  <Paragraphs>2</Paragraphs>
  <TotalTime>0</TotalTime>
  <ScaleCrop>false</ScaleCrop>
  <LinksUpToDate>false</LinksUpToDate>
  <CharactersWithSpaces>1284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2021-09-06T00:25:00Z</dcterms:created>
  <dc:creator>刘国亮</dc:creator>
  <cp:lastModifiedBy>BGM</cp:lastModifiedBy>
  <cp:lastPrinted>2022-03-01T07:09:00Z</cp:lastPrinted>
  <dcterms:modified xsi:type="dcterms:W3CDTF">2022-09-15T07:09:52Z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2EB65116C1EB42B5BFD0B8B8DAD32E21</vt:lpwstr>
  </property>
</Properties>
</file>